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C9" w:rsidRPr="006B62D8" w:rsidRDefault="001B2DB0" w:rsidP="00AB6888">
      <w:pPr>
        <w:spacing w:after="0" w:line="240" w:lineRule="auto"/>
        <w:jc w:val="center"/>
        <w:rPr>
          <w:rFonts w:ascii="Times New Roman" w:hAnsi="Times New Roman" w:cs="Times New Roman"/>
          <w:b/>
          <w:sz w:val="28"/>
        </w:rPr>
      </w:pPr>
      <w:r w:rsidRPr="006B62D8">
        <w:rPr>
          <w:rFonts w:ascii="Times New Roman" w:hAnsi="Times New Roman" w:cs="Times New Roman"/>
          <w:b/>
          <w:sz w:val="28"/>
        </w:rPr>
        <w:t xml:space="preserve">ASEAN </w:t>
      </w:r>
      <w:r w:rsidR="00A03865" w:rsidRPr="006B62D8">
        <w:rPr>
          <w:rFonts w:ascii="Times New Roman" w:hAnsi="Times New Roman" w:cs="Times New Roman"/>
          <w:b/>
          <w:sz w:val="28"/>
        </w:rPr>
        <w:t>Joint Assessments</w:t>
      </w:r>
      <w:r w:rsidR="006B62D8" w:rsidRPr="006B62D8">
        <w:rPr>
          <w:rFonts w:ascii="Times New Roman" w:hAnsi="Times New Roman" w:cs="Times New Roman"/>
          <w:b/>
          <w:sz w:val="28"/>
        </w:rPr>
        <w:t xml:space="preserve"> </w:t>
      </w:r>
      <w:r w:rsidR="00A44BC9" w:rsidRPr="006B62D8">
        <w:rPr>
          <w:rFonts w:ascii="Times New Roman" w:hAnsi="Times New Roman" w:cs="Times New Roman"/>
          <w:b/>
          <w:sz w:val="28"/>
        </w:rPr>
        <w:t>Procedure for Pharmaceutical Products</w:t>
      </w:r>
    </w:p>
    <w:p w:rsidR="00A63500" w:rsidRPr="006B62D8" w:rsidRDefault="00A44BC9" w:rsidP="00AB6888">
      <w:pPr>
        <w:spacing w:after="0" w:line="240" w:lineRule="auto"/>
        <w:jc w:val="center"/>
        <w:rPr>
          <w:rFonts w:ascii="Times New Roman" w:hAnsi="Times New Roman" w:cs="Times New Roman"/>
          <w:b/>
          <w:sz w:val="28"/>
        </w:rPr>
      </w:pPr>
      <w:r w:rsidRPr="006B62D8">
        <w:rPr>
          <w:rFonts w:ascii="Times New Roman" w:hAnsi="Times New Roman" w:cs="Times New Roman"/>
          <w:b/>
          <w:sz w:val="28"/>
        </w:rPr>
        <w:t>I</w:t>
      </w:r>
      <w:r w:rsidR="001B2DB0" w:rsidRPr="006B62D8">
        <w:rPr>
          <w:rFonts w:ascii="Times New Roman" w:hAnsi="Times New Roman" w:cs="Times New Roman"/>
          <w:b/>
          <w:sz w:val="28"/>
        </w:rPr>
        <w:t>nformation for applicants</w:t>
      </w:r>
    </w:p>
    <w:p w:rsidR="004147E2" w:rsidRPr="006B62D8" w:rsidRDefault="004147E2" w:rsidP="00AB6888">
      <w:pPr>
        <w:spacing w:after="0" w:line="240" w:lineRule="auto"/>
        <w:jc w:val="both"/>
        <w:rPr>
          <w:rFonts w:ascii="Times New Roman" w:hAnsi="Times New Roman" w:cs="Times New Roman"/>
          <w:b/>
          <w:sz w:val="28"/>
        </w:rPr>
      </w:pPr>
    </w:p>
    <w:p w:rsidR="0093601F" w:rsidRPr="0093601F" w:rsidRDefault="0093601F" w:rsidP="00AB6888">
      <w:pPr>
        <w:spacing w:after="0" w:line="240" w:lineRule="auto"/>
        <w:jc w:val="both"/>
        <w:rPr>
          <w:rFonts w:ascii="Times New Roman" w:hAnsi="Times New Roman" w:cs="Times New Roman"/>
          <w:b/>
        </w:rPr>
      </w:pPr>
      <w:bookmarkStart w:id="0" w:name="_GoBack"/>
      <w:bookmarkEnd w:id="0"/>
      <w:r w:rsidRPr="0093601F">
        <w:rPr>
          <w:rFonts w:ascii="Times New Roman" w:hAnsi="Times New Roman" w:cs="Times New Roman"/>
          <w:b/>
        </w:rPr>
        <w:t>Definition</w:t>
      </w:r>
    </w:p>
    <w:p w:rsidR="0093601F" w:rsidRDefault="0093601F" w:rsidP="00AB6888">
      <w:pPr>
        <w:spacing w:after="0" w:line="240" w:lineRule="auto"/>
        <w:jc w:val="both"/>
        <w:rPr>
          <w:rFonts w:ascii="Times New Roman" w:hAnsi="Times New Roman" w:cs="Times New Roman"/>
        </w:rPr>
      </w:pPr>
    </w:p>
    <w:p w:rsidR="00FD22B1" w:rsidRPr="00A63500" w:rsidRDefault="00FD22B1" w:rsidP="00AB6888">
      <w:pPr>
        <w:spacing w:after="0" w:line="240" w:lineRule="auto"/>
        <w:jc w:val="both"/>
        <w:rPr>
          <w:rFonts w:ascii="Times New Roman" w:hAnsi="Times New Roman" w:cs="Times New Roman"/>
        </w:rPr>
      </w:pPr>
      <w:r w:rsidRPr="00A63500">
        <w:rPr>
          <w:rFonts w:ascii="Times New Roman" w:hAnsi="Times New Roman" w:cs="Times New Roman"/>
        </w:rPr>
        <w:t xml:space="preserve">Joint assessments are </w:t>
      </w:r>
      <w:r w:rsidR="001275CA">
        <w:rPr>
          <w:rFonts w:ascii="Times New Roman" w:hAnsi="Times New Roman" w:cs="Times New Roman"/>
        </w:rPr>
        <w:t xml:space="preserve">a </w:t>
      </w:r>
      <w:r w:rsidRPr="00A63500">
        <w:rPr>
          <w:rFonts w:ascii="Times New Roman" w:hAnsi="Times New Roman" w:cs="Times New Roman"/>
        </w:rPr>
        <w:t xml:space="preserve">formal procedure in which the </w:t>
      </w:r>
      <w:r w:rsidRPr="00A63500">
        <w:rPr>
          <w:rFonts w:ascii="Times New Roman" w:hAnsi="Times New Roman" w:cs="Times New Roman"/>
          <w:u w:val="single"/>
        </w:rPr>
        <w:t>same</w:t>
      </w:r>
      <w:r w:rsidRPr="00A63500">
        <w:rPr>
          <w:rStyle w:val="FootnoteReference"/>
          <w:rFonts w:ascii="Times New Roman" w:hAnsi="Times New Roman" w:cs="Times New Roman"/>
          <w:u w:val="single"/>
        </w:rPr>
        <w:footnoteReference w:id="2"/>
      </w:r>
      <w:r w:rsidRPr="00A63500">
        <w:rPr>
          <w:rFonts w:ascii="Times New Roman" w:hAnsi="Times New Roman" w:cs="Times New Roman"/>
        </w:rPr>
        <w:t xml:space="preserve"> application is </w:t>
      </w:r>
      <w:r w:rsidRPr="00A63500">
        <w:rPr>
          <w:rFonts w:ascii="Times New Roman" w:hAnsi="Times New Roman" w:cs="Times New Roman"/>
          <w:u w:val="single"/>
        </w:rPr>
        <w:t>simultaneously</w:t>
      </w:r>
      <w:r w:rsidRPr="00A63500">
        <w:rPr>
          <w:rStyle w:val="FootnoteReference"/>
          <w:rFonts w:ascii="Times New Roman" w:hAnsi="Times New Roman" w:cs="Times New Roman"/>
          <w:u w:val="single"/>
        </w:rPr>
        <w:footnoteReference w:id="3"/>
      </w:r>
      <w:r w:rsidRPr="00A63500">
        <w:rPr>
          <w:rFonts w:ascii="Times New Roman" w:hAnsi="Times New Roman" w:cs="Times New Roman"/>
        </w:rPr>
        <w:t xml:space="preserve"> submitted to </w:t>
      </w:r>
      <w:r w:rsidR="001B7692" w:rsidRPr="00A63500">
        <w:rPr>
          <w:rFonts w:ascii="Times New Roman" w:hAnsi="Times New Roman" w:cs="Times New Roman"/>
        </w:rPr>
        <w:t xml:space="preserve">all </w:t>
      </w:r>
      <w:r w:rsidRPr="00A63500">
        <w:rPr>
          <w:rFonts w:ascii="Times New Roman" w:hAnsi="Times New Roman" w:cs="Times New Roman"/>
        </w:rPr>
        <w:t xml:space="preserve">participating </w:t>
      </w:r>
      <w:r w:rsidR="001B2DB0">
        <w:rPr>
          <w:rFonts w:ascii="Times New Roman" w:hAnsi="Times New Roman" w:cs="Times New Roman"/>
        </w:rPr>
        <w:t>ASEAN National Medicines Regulatory Authorities (NRAs)</w:t>
      </w:r>
      <w:r w:rsidRPr="00A63500">
        <w:rPr>
          <w:rFonts w:ascii="Times New Roman" w:hAnsi="Times New Roman" w:cs="Times New Roman"/>
        </w:rPr>
        <w:t>. Assessment work is then carried out together by all participating NRAs and a joint assessment report is prepared. At the end of the process, the final decision on the application is then taken, within established time lines, by each individual NRA through their normal decision-making process based on the joint report and</w:t>
      </w:r>
      <w:r w:rsidR="001275CA">
        <w:rPr>
          <w:rFonts w:ascii="Times New Roman" w:hAnsi="Times New Roman" w:cs="Times New Roman"/>
        </w:rPr>
        <w:t>, where applicable,</w:t>
      </w:r>
      <w:r w:rsidR="006B62D8">
        <w:rPr>
          <w:rFonts w:ascii="Times New Roman" w:hAnsi="Times New Roman" w:cs="Times New Roman"/>
        </w:rPr>
        <w:t xml:space="preserve"> </w:t>
      </w:r>
      <w:r w:rsidR="009A2518" w:rsidRPr="00A63500">
        <w:rPr>
          <w:rFonts w:ascii="Times New Roman" w:hAnsi="Times New Roman" w:cs="Times New Roman"/>
        </w:rPr>
        <w:t>nationally-</w:t>
      </w:r>
      <w:r w:rsidR="009A2518">
        <w:rPr>
          <w:rFonts w:ascii="Times New Roman" w:hAnsi="Times New Roman" w:cs="Times New Roman"/>
        </w:rPr>
        <w:t>relevant</w:t>
      </w:r>
      <w:r w:rsidR="006B62D8">
        <w:rPr>
          <w:rFonts w:ascii="Times New Roman" w:hAnsi="Times New Roman" w:cs="Times New Roman"/>
        </w:rPr>
        <w:t xml:space="preserve"> </w:t>
      </w:r>
      <w:r w:rsidR="009A2518">
        <w:rPr>
          <w:rFonts w:ascii="Times New Roman" w:hAnsi="Times New Roman" w:cs="Times New Roman"/>
        </w:rPr>
        <w:t>considerations</w:t>
      </w:r>
      <w:r w:rsidRPr="00A63500">
        <w:rPr>
          <w:rFonts w:ascii="Times New Roman" w:hAnsi="Times New Roman" w:cs="Times New Roman"/>
        </w:rPr>
        <w:t xml:space="preserve">. </w:t>
      </w:r>
    </w:p>
    <w:p w:rsidR="00BA7722" w:rsidRPr="00A63500" w:rsidRDefault="00BA7722" w:rsidP="00AB6888">
      <w:pPr>
        <w:spacing w:after="0" w:line="240" w:lineRule="auto"/>
        <w:jc w:val="both"/>
        <w:rPr>
          <w:rFonts w:ascii="Times New Roman" w:hAnsi="Times New Roman" w:cs="Times New Roman"/>
        </w:rPr>
      </w:pPr>
    </w:p>
    <w:p w:rsidR="004C17B0" w:rsidRDefault="004C17B0" w:rsidP="00AB6888">
      <w:pPr>
        <w:spacing w:after="0" w:line="240" w:lineRule="auto"/>
        <w:jc w:val="both"/>
        <w:rPr>
          <w:rFonts w:ascii="Times New Roman" w:hAnsi="Times New Roman" w:cs="Times New Roman"/>
          <w:b/>
        </w:rPr>
      </w:pPr>
      <w:r>
        <w:rPr>
          <w:rFonts w:ascii="Times New Roman" w:hAnsi="Times New Roman" w:cs="Times New Roman"/>
          <w:b/>
        </w:rPr>
        <w:t>Product eligibility criteria</w:t>
      </w:r>
    </w:p>
    <w:p w:rsidR="004C17B0" w:rsidRDefault="004C17B0" w:rsidP="00AB6888">
      <w:pPr>
        <w:spacing w:after="0" w:line="240" w:lineRule="auto"/>
        <w:jc w:val="both"/>
        <w:rPr>
          <w:rFonts w:ascii="Times New Roman" w:hAnsi="Times New Roman" w:cs="Times New Roman"/>
        </w:rPr>
      </w:pPr>
    </w:p>
    <w:p w:rsidR="004C17B0" w:rsidRDefault="004C17B0" w:rsidP="00AB6888">
      <w:pPr>
        <w:spacing w:after="0" w:line="240" w:lineRule="auto"/>
        <w:jc w:val="both"/>
        <w:rPr>
          <w:rFonts w:ascii="Times New Roman" w:hAnsi="Times New Roman" w:cs="Times New Roman"/>
        </w:rPr>
      </w:pPr>
      <w:r>
        <w:rPr>
          <w:rFonts w:ascii="Times New Roman" w:hAnsi="Times New Roman" w:cs="Times New Roman"/>
        </w:rPr>
        <w:t xml:space="preserve">The JA procedure will initially adopt the following eligibility criteria: </w:t>
      </w:r>
    </w:p>
    <w:p w:rsidR="004C17B0" w:rsidRDefault="004C17B0" w:rsidP="00AB6888">
      <w:pPr>
        <w:spacing w:after="0" w:line="240" w:lineRule="auto"/>
        <w:ind w:left="720"/>
        <w:jc w:val="both"/>
        <w:rPr>
          <w:rFonts w:ascii="Times New Roman" w:hAnsi="Times New Roman" w:cs="Times New Roman"/>
        </w:rPr>
      </w:pPr>
      <w:r w:rsidRPr="00A63500">
        <w:rPr>
          <w:rFonts w:ascii="Times New Roman" w:hAnsi="Times New Roman" w:cs="Times New Roman"/>
        </w:rPr>
        <w:t xml:space="preserve">a) medicines for treatment </w:t>
      </w:r>
      <w:r>
        <w:rPr>
          <w:rFonts w:ascii="Times New Roman" w:hAnsi="Times New Roman" w:cs="Times New Roman"/>
        </w:rPr>
        <w:t xml:space="preserve">of </w:t>
      </w:r>
      <w:r w:rsidRPr="00A63500">
        <w:rPr>
          <w:rFonts w:ascii="Times New Roman" w:hAnsi="Times New Roman" w:cs="Times New Roman"/>
        </w:rPr>
        <w:t>priority disease</w:t>
      </w:r>
      <w:r>
        <w:rPr>
          <w:rFonts w:ascii="Times New Roman" w:hAnsi="Times New Roman" w:cs="Times New Roman"/>
        </w:rPr>
        <w:t>s</w:t>
      </w:r>
      <w:r w:rsidRPr="00A63500">
        <w:rPr>
          <w:rFonts w:ascii="Times New Roman" w:hAnsi="Times New Roman" w:cs="Times New Roman"/>
        </w:rPr>
        <w:t xml:space="preserve">; </w:t>
      </w:r>
    </w:p>
    <w:p w:rsidR="006B62D8" w:rsidRDefault="004C17B0" w:rsidP="00AB6888">
      <w:pPr>
        <w:spacing w:after="0" w:line="240" w:lineRule="auto"/>
        <w:ind w:left="720"/>
        <w:jc w:val="both"/>
        <w:rPr>
          <w:rFonts w:ascii="Times New Roman" w:hAnsi="Times New Roman" w:cs="Times New Roman"/>
        </w:rPr>
      </w:pPr>
      <w:r w:rsidRPr="00A63500">
        <w:rPr>
          <w:rFonts w:ascii="Times New Roman" w:hAnsi="Times New Roman" w:cs="Times New Roman"/>
        </w:rPr>
        <w:t xml:space="preserve">b) </w:t>
      </w:r>
      <w:r w:rsidR="006B62D8">
        <w:rPr>
          <w:rFonts w:ascii="Times New Roman" w:hAnsi="Times New Roman" w:cs="Times New Roman"/>
        </w:rPr>
        <w:t xml:space="preserve">products </w:t>
      </w:r>
      <w:r>
        <w:rPr>
          <w:rFonts w:ascii="Times New Roman" w:hAnsi="Times New Roman" w:cs="Times New Roman"/>
        </w:rPr>
        <w:t>already approved by a reference NRA, prequalified by WHO</w:t>
      </w:r>
      <w:r w:rsidRPr="00A63500">
        <w:rPr>
          <w:rFonts w:ascii="Times New Roman" w:hAnsi="Times New Roman" w:cs="Times New Roman"/>
        </w:rPr>
        <w:t>-PQP</w:t>
      </w:r>
      <w:r>
        <w:rPr>
          <w:rFonts w:ascii="Times New Roman" w:hAnsi="Times New Roman" w:cs="Times New Roman"/>
        </w:rPr>
        <w:t xml:space="preserve">, or assessed </w:t>
      </w:r>
      <w:r w:rsidR="006B62D8">
        <w:rPr>
          <w:rFonts w:ascii="Times New Roman" w:hAnsi="Times New Roman" w:cs="Times New Roman"/>
        </w:rPr>
        <w:t xml:space="preserve">  </w:t>
      </w:r>
    </w:p>
    <w:p w:rsidR="004C17B0" w:rsidRPr="00A63500" w:rsidRDefault="006B62D8" w:rsidP="00AB6888">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4C17B0">
        <w:rPr>
          <w:rFonts w:ascii="Times New Roman" w:hAnsi="Times New Roman" w:cs="Times New Roman"/>
        </w:rPr>
        <w:t>through special regulatory pathways such as EU Article 58 or US-FDA tentative approval;</w:t>
      </w:r>
    </w:p>
    <w:p w:rsidR="006B62D8" w:rsidRDefault="004C17B0" w:rsidP="00AB6888">
      <w:pPr>
        <w:spacing w:after="0" w:line="240" w:lineRule="auto"/>
        <w:ind w:left="720"/>
        <w:jc w:val="both"/>
        <w:rPr>
          <w:rFonts w:ascii="Times New Roman" w:hAnsi="Times New Roman" w:cs="Times New Roman"/>
        </w:rPr>
      </w:pPr>
      <w:r w:rsidRPr="00A63500">
        <w:rPr>
          <w:rFonts w:ascii="Times New Roman" w:hAnsi="Times New Roman" w:cs="Times New Roman"/>
        </w:rPr>
        <w:t xml:space="preserve">c) </w:t>
      </w:r>
      <w:r>
        <w:rPr>
          <w:rFonts w:ascii="Times New Roman" w:hAnsi="Times New Roman" w:cs="Times New Roman"/>
        </w:rPr>
        <w:t>products</w:t>
      </w:r>
      <w:r w:rsidR="006B62D8">
        <w:rPr>
          <w:rFonts w:ascii="Times New Roman" w:hAnsi="Times New Roman" w:cs="Times New Roman"/>
        </w:rPr>
        <w:t xml:space="preserve"> </w:t>
      </w:r>
      <w:r w:rsidRPr="00A63500">
        <w:rPr>
          <w:rFonts w:ascii="Times New Roman" w:hAnsi="Times New Roman" w:cs="Times New Roman"/>
        </w:rPr>
        <w:t xml:space="preserve">manufactured in a PIC/S-GMP compliant site (documentary verification only, </w:t>
      </w:r>
    </w:p>
    <w:p w:rsidR="004C17B0" w:rsidRPr="00A63500" w:rsidRDefault="006B62D8" w:rsidP="00AB6888">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4C17B0" w:rsidRPr="00A63500">
        <w:rPr>
          <w:rFonts w:ascii="Times New Roman" w:hAnsi="Times New Roman" w:cs="Times New Roman"/>
        </w:rPr>
        <w:t>no inspections foreseen)</w:t>
      </w:r>
      <w:r w:rsidR="004C17B0">
        <w:rPr>
          <w:rFonts w:ascii="Times New Roman" w:hAnsi="Times New Roman" w:cs="Times New Roman"/>
        </w:rPr>
        <w:t>.</w:t>
      </w:r>
    </w:p>
    <w:p w:rsidR="004C17B0" w:rsidRDefault="004C17B0" w:rsidP="00AB6888">
      <w:pPr>
        <w:spacing w:after="0" w:line="240" w:lineRule="auto"/>
        <w:jc w:val="both"/>
        <w:rPr>
          <w:rFonts w:ascii="Times New Roman" w:hAnsi="Times New Roman" w:cs="Times New Roman"/>
        </w:rPr>
      </w:pPr>
    </w:p>
    <w:p w:rsidR="004C17B0" w:rsidRDefault="004C17B0" w:rsidP="00AB6888">
      <w:pPr>
        <w:spacing w:after="0" w:line="240" w:lineRule="auto"/>
        <w:jc w:val="both"/>
        <w:rPr>
          <w:rFonts w:ascii="Times New Roman" w:hAnsi="Times New Roman" w:cs="Times New Roman"/>
        </w:rPr>
      </w:pPr>
      <w:r>
        <w:rPr>
          <w:rFonts w:ascii="Times New Roman" w:hAnsi="Times New Roman" w:cs="Times New Roman"/>
        </w:rPr>
        <w:t>Each Notice (see below) inviting expressions of interest will indicate which reference NRAs are accepted for each specific product.</w:t>
      </w:r>
    </w:p>
    <w:p w:rsidR="004C17B0" w:rsidRDefault="004C17B0" w:rsidP="00AB6888">
      <w:pPr>
        <w:spacing w:after="0" w:line="240" w:lineRule="auto"/>
        <w:jc w:val="both"/>
        <w:rPr>
          <w:rFonts w:ascii="Times New Roman" w:hAnsi="Times New Roman" w:cs="Times New Roman"/>
          <w:b/>
        </w:rPr>
      </w:pPr>
    </w:p>
    <w:p w:rsidR="00FD22B1" w:rsidRPr="00A63500" w:rsidRDefault="00FD22B1" w:rsidP="00AB6888">
      <w:pPr>
        <w:spacing w:after="0" w:line="240" w:lineRule="auto"/>
        <w:jc w:val="both"/>
        <w:rPr>
          <w:rFonts w:ascii="Times New Roman" w:hAnsi="Times New Roman" w:cs="Times New Roman"/>
          <w:b/>
        </w:rPr>
      </w:pPr>
      <w:r w:rsidRPr="00A63500">
        <w:rPr>
          <w:rFonts w:ascii="Times New Roman" w:hAnsi="Times New Roman" w:cs="Times New Roman"/>
          <w:b/>
        </w:rPr>
        <w:t>Overall description of the procedure</w:t>
      </w:r>
    </w:p>
    <w:p w:rsidR="00FD22B1" w:rsidRPr="00A63500" w:rsidRDefault="00FD22B1" w:rsidP="00AB6888">
      <w:pPr>
        <w:spacing w:after="0" w:line="240" w:lineRule="auto"/>
        <w:jc w:val="both"/>
        <w:rPr>
          <w:rFonts w:ascii="Times New Roman" w:hAnsi="Times New Roman" w:cs="Times New Roman"/>
        </w:rPr>
      </w:pPr>
    </w:p>
    <w:p w:rsidR="004147E2" w:rsidRPr="00A63500" w:rsidRDefault="004147E2" w:rsidP="00AB6888">
      <w:pPr>
        <w:spacing w:after="0" w:line="240" w:lineRule="auto"/>
        <w:jc w:val="both"/>
        <w:rPr>
          <w:rFonts w:ascii="Times New Roman" w:hAnsi="Times New Roman" w:cs="Times New Roman"/>
        </w:rPr>
      </w:pPr>
      <w:r w:rsidRPr="00A63500">
        <w:rPr>
          <w:rFonts w:ascii="Times New Roman" w:hAnsi="Times New Roman" w:cs="Times New Roman"/>
        </w:rPr>
        <w:t>The JA procedure entails the following steps:</w:t>
      </w:r>
    </w:p>
    <w:p w:rsidR="004147E2" w:rsidRPr="00A63500" w:rsidRDefault="004147E2" w:rsidP="00AB6888">
      <w:pPr>
        <w:spacing w:after="0" w:line="240" w:lineRule="auto"/>
        <w:jc w:val="both"/>
        <w:rPr>
          <w:rFonts w:ascii="Times New Roman" w:hAnsi="Times New Roman" w:cs="Times New Roman"/>
        </w:rPr>
      </w:pPr>
    </w:p>
    <w:p w:rsidR="00C61DE5" w:rsidRPr="00640E88" w:rsidRDefault="00C61DE5" w:rsidP="00AB6888">
      <w:pPr>
        <w:pStyle w:val="ColorfulList-Accent11"/>
        <w:numPr>
          <w:ilvl w:val="0"/>
          <w:numId w:val="1"/>
        </w:numPr>
        <w:tabs>
          <w:tab w:val="left" w:pos="720"/>
        </w:tabs>
        <w:spacing w:after="0" w:line="248" w:lineRule="exact"/>
        <w:ind w:left="709" w:right="-20" w:hanging="283"/>
        <w:jc w:val="both"/>
        <w:rPr>
          <w:rFonts w:ascii="Times New Roman" w:hAnsi="Times New Roman"/>
          <w:color w:val="000000" w:themeColor="text1"/>
        </w:rPr>
      </w:pPr>
      <w:r>
        <w:rPr>
          <w:rFonts w:ascii="Times New Roman" w:hAnsi="Times New Roman"/>
        </w:rPr>
        <w:t xml:space="preserve">The first step is the publication of </w:t>
      </w:r>
      <w:r w:rsidRPr="00AB6888">
        <w:rPr>
          <w:rFonts w:ascii="Times New Roman" w:hAnsi="Times New Roman"/>
        </w:rPr>
        <w:t>Notices</w:t>
      </w:r>
      <w:r w:rsidR="006B62D8">
        <w:rPr>
          <w:rFonts w:ascii="Times New Roman" w:hAnsi="Times New Roman"/>
        </w:rPr>
        <w:t xml:space="preserve"> </w:t>
      </w:r>
      <w:r>
        <w:rPr>
          <w:rFonts w:ascii="Times New Roman" w:hAnsi="Times New Roman"/>
        </w:rPr>
        <w:t xml:space="preserve">of </w:t>
      </w:r>
      <w:r w:rsidRPr="00F002C9">
        <w:rPr>
          <w:rFonts w:ascii="Times New Roman" w:hAnsi="Times New Roman"/>
        </w:rPr>
        <w:t>Invitation to Express Interest</w:t>
      </w:r>
      <w:r>
        <w:rPr>
          <w:rFonts w:ascii="Times New Roman" w:hAnsi="Times New Roman"/>
        </w:rPr>
        <w:t xml:space="preserve">. </w:t>
      </w:r>
      <w:r w:rsidRPr="00A63500">
        <w:rPr>
          <w:rFonts w:ascii="Times New Roman" w:hAnsi="Times New Roman"/>
        </w:rPr>
        <w:t>At appropriate intervals</w:t>
      </w:r>
      <w:r>
        <w:rPr>
          <w:rFonts w:ascii="Times New Roman" w:hAnsi="Times New Roman"/>
        </w:rPr>
        <w:t xml:space="preserve">, </w:t>
      </w:r>
      <w:r w:rsidRPr="00A63500">
        <w:rPr>
          <w:rFonts w:ascii="Times New Roman" w:hAnsi="Times New Roman"/>
        </w:rPr>
        <w:t xml:space="preserve">and on the basis of the agreement reached by the </w:t>
      </w:r>
      <w:r>
        <w:rPr>
          <w:rFonts w:ascii="Times New Roman" w:hAnsi="Times New Roman"/>
        </w:rPr>
        <w:t>JACG,</w:t>
      </w:r>
      <w:r w:rsidRPr="00A63500">
        <w:rPr>
          <w:rFonts w:ascii="Times New Roman" w:hAnsi="Times New Roman"/>
        </w:rPr>
        <w:t xml:space="preserve"> participating ASEAN NRAs will post Notices </w:t>
      </w:r>
      <w:r>
        <w:rPr>
          <w:rFonts w:ascii="Times New Roman" w:hAnsi="Times New Roman"/>
        </w:rPr>
        <w:t xml:space="preserve">of </w:t>
      </w:r>
      <w:r w:rsidRPr="00F002C9">
        <w:rPr>
          <w:rFonts w:ascii="Times New Roman" w:hAnsi="Times New Roman"/>
        </w:rPr>
        <w:t>Invitation to Express Interest</w:t>
      </w:r>
      <w:r w:rsidRPr="00A63500">
        <w:rPr>
          <w:rFonts w:ascii="Times New Roman" w:hAnsi="Times New Roman"/>
        </w:rPr>
        <w:t xml:space="preserve"> on their web sites inviting applicants to </w:t>
      </w:r>
      <w:r w:rsidRPr="00640E88">
        <w:rPr>
          <w:rFonts w:ascii="Times New Roman" w:hAnsi="Times New Roman"/>
          <w:color w:val="000000" w:themeColor="text1"/>
        </w:rPr>
        <w:t>express their interest in submitting applications through the JA procedure. Notices will mention the following elements of information:</w:t>
      </w:r>
    </w:p>
    <w:p w:rsidR="00C61DE5" w:rsidRPr="00640E88" w:rsidRDefault="00C61DE5" w:rsidP="00AB6888">
      <w:pPr>
        <w:pStyle w:val="ColorfulList-Accent11"/>
        <w:numPr>
          <w:ilvl w:val="2"/>
          <w:numId w:val="15"/>
        </w:numPr>
        <w:spacing w:after="0" w:line="248" w:lineRule="exact"/>
        <w:ind w:left="1440" w:right="-20" w:hanging="540"/>
        <w:jc w:val="both"/>
        <w:rPr>
          <w:rFonts w:ascii="Times New Roman" w:hAnsi="Times New Roman"/>
          <w:color w:val="000000" w:themeColor="text1"/>
        </w:rPr>
      </w:pPr>
      <w:r w:rsidRPr="00640E88">
        <w:rPr>
          <w:rFonts w:ascii="Times New Roman" w:hAnsi="Times New Roman"/>
          <w:color w:val="000000" w:themeColor="text1"/>
        </w:rPr>
        <w:t>which medicinal products are eligible for the JA procedure within a specified time frame;</w:t>
      </w:r>
    </w:p>
    <w:p w:rsidR="00C61DE5" w:rsidRPr="00640E88" w:rsidRDefault="00C61DE5" w:rsidP="00AB6888">
      <w:pPr>
        <w:pStyle w:val="ColorfulList-Accent11"/>
        <w:numPr>
          <w:ilvl w:val="2"/>
          <w:numId w:val="15"/>
        </w:numPr>
        <w:spacing w:after="0" w:line="248" w:lineRule="exact"/>
        <w:ind w:left="1440" w:right="-20" w:hanging="540"/>
        <w:jc w:val="both"/>
        <w:rPr>
          <w:rFonts w:ascii="Times New Roman" w:hAnsi="Times New Roman"/>
          <w:color w:val="000000" w:themeColor="text1"/>
        </w:rPr>
      </w:pPr>
      <w:r w:rsidRPr="00640E88">
        <w:rPr>
          <w:rFonts w:ascii="Times New Roman" w:hAnsi="Times New Roman"/>
          <w:color w:val="000000" w:themeColor="text1"/>
        </w:rPr>
        <w:t xml:space="preserve">which ASEAN NRAs are </w:t>
      </w:r>
      <w:r w:rsidR="00C02A8A" w:rsidRPr="006B62D8">
        <w:rPr>
          <w:rFonts w:ascii="Times New Roman" w:hAnsi="Times New Roman"/>
          <w:color w:val="000000" w:themeColor="text1"/>
        </w:rPr>
        <w:t>tentatively</w:t>
      </w:r>
      <w:r w:rsidR="006B62D8" w:rsidRPr="006B62D8">
        <w:rPr>
          <w:rFonts w:ascii="Times New Roman" w:hAnsi="Times New Roman"/>
          <w:color w:val="000000" w:themeColor="text1"/>
        </w:rPr>
        <w:t xml:space="preserve"> </w:t>
      </w:r>
      <w:r w:rsidRPr="006B62D8">
        <w:rPr>
          <w:rFonts w:ascii="Times New Roman" w:hAnsi="Times New Roman"/>
          <w:color w:val="000000" w:themeColor="text1"/>
        </w:rPr>
        <w:t>p</w:t>
      </w:r>
      <w:r w:rsidRPr="00640E88">
        <w:rPr>
          <w:rFonts w:ascii="Times New Roman" w:hAnsi="Times New Roman"/>
          <w:color w:val="000000" w:themeColor="text1"/>
        </w:rPr>
        <w:t>articipating for which products and which NRA is the Lead NRA for each product;</w:t>
      </w:r>
    </w:p>
    <w:p w:rsidR="00C61DE5" w:rsidRPr="00640E88" w:rsidRDefault="00C61DE5" w:rsidP="00AB6888">
      <w:pPr>
        <w:pStyle w:val="ColorfulList-Accent11"/>
        <w:numPr>
          <w:ilvl w:val="2"/>
          <w:numId w:val="15"/>
        </w:numPr>
        <w:spacing w:after="0" w:line="248" w:lineRule="exact"/>
        <w:ind w:left="1440" w:right="-20" w:hanging="540"/>
        <w:jc w:val="both"/>
        <w:rPr>
          <w:rFonts w:ascii="Times New Roman" w:hAnsi="Times New Roman"/>
          <w:color w:val="000000" w:themeColor="text1"/>
        </w:rPr>
      </w:pPr>
      <w:r w:rsidRPr="00640E88">
        <w:rPr>
          <w:rFonts w:ascii="Times New Roman" w:hAnsi="Times New Roman"/>
          <w:color w:val="000000" w:themeColor="text1"/>
        </w:rPr>
        <w:t xml:space="preserve">time frame for submitting </w:t>
      </w:r>
      <w:r w:rsidR="00C02A8A" w:rsidRPr="00640E88">
        <w:rPr>
          <w:rFonts w:ascii="Times New Roman" w:hAnsi="Times New Roman"/>
          <w:color w:val="000000" w:themeColor="text1"/>
        </w:rPr>
        <w:t xml:space="preserve">Expressions of Interest </w:t>
      </w:r>
      <w:r w:rsidRPr="00640E88">
        <w:rPr>
          <w:rFonts w:ascii="Times New Roman" w:hAnsi="Times New Roman"/>
          <w:color w:val="000000" w:themeColor="text1"/>
        </w:rPr>
        <w:t>and any other relevant aspect of the procedure.</w:t>
      </w:r>
    </w:p>
    <w:p w:rsidR="00B47263" w:rsidRPr="00640E88" w:rsidRDefault="00B47263" w:rsidP="00AB6888">
      <w:pPr>
        <w:pStyle w:val="ListParagraph"/>
        <w:tabs>
          <w:tab w:val="left" w:pos="1260"/>
        </w:tabs>
        <w:spacing w:after="0" w:line="248" w:lineRule="exact"/>
        <w:ind w:left="709" w:right="-20" w:hanging="283"/>
        <w:jc w:val="both"/>
        <w:rPr>
          <w:rFonts w:ascii="Times New Roman" w:hAnsi="Times New Roman" w:cs="Times New Roman"/>
          <w:color w:val="000000" w:themeColor="text1"/>
          <w:lang w:val="en-MY"/>
        </w:rPr>
      </w:pPr>
    </w:p>
    <w:p w:rsidR="00B47263" w:rsidRPr="00A63500" w:rsidRDefault="00B47263" w:rsidP="00AB6888">
      <w:pPr>
        <w:pStyle w:val="ListParagraph"/>
        <w:numPr>
          <w:ilvl w:val="0"/>
          <w:numId w:val="1"/>
        </w:numPr>
        <w:tabs>
          <w:tab w:val="left" w:pos="1260"/>
        </w:tabs>
        <w:spacing w:after="0" w:line="248" w:lineRule="exact"/>
        <w:ind w:left="709" w:right="-20" w:hanging="283"/>
        <w:jc w:val="both"/>
        <w:rPr>
          <w:rFonts w:ascii="Times New Roman" w:hAnsi="Times New Roman" w:cs="Times New Roman"/>
        </w:rPr>
      </w:pPr>
      <w:r w:rsidRPr="00A63500">
        <w:rPr>
          <w:rFonts w:ascii="Times New Roman" w:hAnsi="Times New Roman" w:cs="Times New Roman"/>
        </w:rPr>
        <w:t xml:space="preserve">In situations of high public health concern, as determined by </w:t>
      </w:r>
      <w:r w:rsidR="000368E1">
        <w:rPr>
          <w:rFonts w:ascii="Times New Roman" w:hAnsi="Times New Roman" w:cs="Times New Roman"/>
        </w:rPr>
        <w:t>ASEAN NRAs</w:t>
      </w:r>
      <w:r w:rsidRPr="00A63500">
        <w:rPr>
          <w:rFonts w:ascii="Times New Roman" w:hAnsi="Times New Roman" w:cs="Times New Roman"/>
        </w:rPr>
        <w:t>, selected manufacturers may be directly invited to submit specified products for assessment under the JA procedure without publication of Notices for expressions of interest.</w:t>
      </w:r>
    </w:p>
    <w:p w:rsidR="00B47263" w:rsidRPr="00A63500" w:rsidRDefault="00B47263" w:rsidP="00AB6888">
      <w:pPr>
        <w:pStyle w:val="ListParagraph"/>
        <w:tabs>
          <w:tab w:val="left" w:pos="1260"/>
        </w:tabs>
        <w:spacing w:after="0" w:line="248" w:lineRule="exact"/>
        <w:ind w:left="709" w:right="-20" w:hanging="283"/>
        <w:jc w:val="both"/>
        <w:rPr>
          <w:rFonts w:ascii="Times New Roman" w:hAnsi="Times New Roman" w:cs="Times New Roman"/>
        </w:rPr>
      </w:pPr>
    </w:p>
    <w:p w:rsidR="000407DA" w:rsidRDefault="004147E2" w:rsidP="00AB6888">
      <w:pPr>
        <w:pStyle w:val="ListParagraph"/>
        <w:numPr>
          <w:ilvl w:val="0"/>
          <w:numId w:val="1"/>
        </w:numPr>
        <w:tabs>
          <w:tab w:val="left" w:pos="1260"/>
        </w:tabs>
        <w:spacing w:after="0" w:line="248" w:lineRule="exact"/>
        <w:ind w:left="709" w:right="-20" w:hanging="283"/>
        <w:jc w:val="both"/>
        <w:rPr>
          <w:rFonts w:ascii="Times New Roman" w:hAnsi="Times New Roman" w:cs="Times New Roman"/>
        </w:rPr>
      </w:pPr>
      <w:r w:rsidRPr="00A63500">
        <w:rPr>
          <w:rFonts w:ascii="Times New Roman" w:hAnsi="Times New Roman" w:cs="Times New Roman"/>
        </w:rPr>
        <w:t>Applicants express their interest in participating</w:t>
      </w:r>
      <w:r w:rsidR="00B47263" w:rsidRPr="00A63500">
        <w:rPr>
          <w:rFonts w:ascii="Times New Roman" w:hAnsi="Times New Roman" w:cs="Times New Roman"/>
        </w:rPr>
        <w:t xml:space="preserve"> using the standard form </w:t>
      </w:r>
      <w:hyperlink w:anchor="_Annex_1" w:history="1">
        <w:r w:rsidR="0093601F" w:rsidRPr="004533A3">
          <w:rPr>
            <w:rStyle w:val="Hyperlink"/>
            <w:rFonts w:ascii="Times New Roman" w:hAnsi="Times New Roman" w:cs="Times New Roman"/>
            <w:color w:val="auto"/>
          </w:rPr>
          <w:t>AEOI</w:t>
        </w:r>
      </w:hyperlink>
      <w:r w:rsidR="0093601F">
        <w:rPr>
          <w:rFonts w:ascii="Times New Roman" w:hAnsi="Times New Roman" w:cs="Times New Roman"/>
        </w:rPr>
        <w:t xml:space="preserve"> (</w:t>
      </w:r>
      <w:r w:rsidR="00B47263" w:rsidRPr="00A63500">
        <w:rPr>
          <w:rFonts w:ascii="Times New Roman" w:hAnsi="Times New Roman" w:cs="Times New Roman"/>
        </w:rPr>
        <w:t>Annex 1</w:t>
      </w:r>
      <w:r w:rsidR="0093601F">
        <w:rPr>
          <w:rFonts w:ascii="Times New Roman" w:hAnsi="Times New Roman" w:cs="Times New Roman"/>
        </w:rPr>
        <w:t>)</w:t>
      </w:r>
      <w:r w:rsidR="00BF7C03" w:rsidRPr="00A63500">
        <w:rPr>
          <w:rFonts w:ascii="Times New Roman" w:hAnsi="Times New Roman" w:cs="Times New Roman"/>
        </w:rPr>
        <w:t xml:space="preserve"> and</w:t>
      </w:r>
      <w:r w:rsidR="00C9478A" w:rsidRPr="00A63500">
        <w:rPr>
          <w:rFonts w:ascii="Times New Roman" w:hAnsi="Times New Roman" w:cs="Times New Roman"/>
        </w:rPr>
        <w:t>, when necessary,</w:t>
      </w:r>
      <w:r w:rsidR="006B62D8">
        <w:rPr>
          <w:rFonts w:ascii="Times New Roman" w:hAnsi="Times New Roman" w:cs="Times New Roman"/>
        </w:rPr>
        <w:t xml:space="preserve"> </w:t>
      </w:r>
      <w:r w:rsidR="00D52C5E">
        <w:rPr>
          <w:rFonts w:ascii="Times New Roman" w:hAnsi="Times New Roman" w:cs="Times New Roman"/>
        </w:rPr>
        <w:t>for</w:t>
      </w:r>
      <w:r w:rsidR="000368E1">
        <w:rPr>
          <w:rFonts w:ascii="Times New Roman" w:hAnsi="Times New Roman" w:cs="Times New Roman"/>
        </w:rPr>
        <w:t>m</w:t>
      </w:r>
      <w:r w:rsidR="004533A3">
        <w:rPr>
          <w:rFonts w:ascii="Times New Roman" w:hAnsi="Times New Roman" w:cs="Times New Roman"/>
        </w:rPr>
        <w:t xml:space="preserve"> </w:t>
      </w:r>
      <w:hyperlink w:anchor="_Annex_1a" w:history="1">
        <w:r w:rsidR="00D52C5E" w:rsidRPr="004533A3">
          <w:rPr>
            <w:rStyle w:val="Hyperlink"/>
            <w:rFonts w:ascii="Times New Roman" w:hAnsi="Times New Roman" w:cs="Times New Roman"/>
            <w:color w:val="auto"/>
          </w:rPr>
          <w:t>AEOI1</w:t>
        </w:r>
      </w:hyperlink>
      <w:r w:rsidR="00D52C5E" w:rsidRPr="004533A3">
        <w:rPr>
          <w:rFonts w:ascii="Times New Roman" w:hAnsi="Times New Roman" w:cs="Times New Roman"/>
        </w:rPr>
        <w:t xml:space="preserve"> </w:t>
      </w:r>
      <w:r w:rsidR="00D52C5E">
        <w:rPr>
          <w:rFonts w:ascii="Times New Roman" w:hAnsi="Times New Roman" w:cs="Times New Roman"/>
        </w:rPr>
        <w:t>(Annex 1</w:t>
      </w:r>
      <w:r w:rsidR="00BF7C03" w:rsidRPr="00A63500">
        <w:rPr>
          <w:rFonts w:ascii="Times New Roman" w:hAnsi="Times New Roman" w:cs="Times New Roman"/>
        </w:rPr>
        <w:t>a</w:t>
      </w:r>
      <w:r w:rsidR="00D52C5E">
        <w:rPr>
          <w:rFonts w:ascii="Times New Roman" w:hAnsi="Times New Roman" w:cs="Times New Roman"/>
        </w:rPr>
        <w:t>)</w:t>
      </w:r>
      <w:r w:rsidRPr="00A63500">
        <w:rPr>
          <w:rFonts w:ascii="Times New Roman" w:hAnsi="Times New Roman" w:cs="Times New Roman"/>
        </w:rPr>
        <w:t>.</w:t>
      </w:r>
      <w:r w:rsidR="00B47263" w:rsidRPr="00A63500">
        <w:rPr>
          <w:rFonts w:ascii="Times New Roman" w:hAnsi="Times New Roman" w:cs="Times New Roman"/>
        </w:rPr>
        <w:t xml:space="preserve">  By submitting an expression of interest, applicants undertake to share</w:t>
      </w:r>
      <w:r w:rsidR="00BF7C03" w:rsidRPr="00A63500">
        <w:rPr>
          <w:rFonts w:ascii="Times New Roman" w:hAnsi="Times New Roman" w:cs="Times New Roman"/>
        </w:rPr>
        <w:t xml:space="preserve"> the</w:t>
      </w:r>
      <w:r w:rsidR="00B47263" w:rsidRPr="00A63500">
        <w:rPr>
          <w:rFonts w:ascii="Times New Roman" w:hAnsi="Times New Roman" w:cs="Times New Roman"/>
        </w:rPr>
        <w:t xml:space="preserve"> same information with all participating NRAs on all aspects of quality, safety and efficacy of the specified medicinal products along with information on variations implemented and/or planned.</w:t>
      </w:r>
    </w:p>
    <w:p w:rsidR="000407DA" w:rsidRPr="000407DA" w:rsidRDefault="000407DA" w:rsidP="00AB6888">
      <w:pPr>
        <w:pStyle w:val="ListParagraph"/>
        <w:jc w:val="both"/>
        <w:rPr>
          <w:rFonts w:ascii="Times New Roman" w:hAnsi="Times New Roman" w:cs="Times New Roman"/>
        </w:rPr>
      </w:pPr>
    </w:p>
    <w:p w:rsidR="004147E2" w:rsidRPr="006B62D8" w:rsidRDefault="000407DA" w:rsidP="00AB6888">
      <w:pPr>
        <w:pStyle w:val="ListParagraph"/>
        <w:numPr>
          <w:ilvl w:val="0"/>
          <w:numId w:val="1"/>
        </w:numPr>
        <w:tabs>
          <w:tab w:val="left" w:pos="1260"/>
        </w:tabs>
        <w:spacing w:after="0" w:line="248" w:lineRule="exact"/>
        <w:ind w:left="709" w:right="-20" w:hanging="283"/>
        <w:jc w:val="both"/>
        <w:rPr>
          <w:rFonts w:ascii="Times New Roman" w:hAnsi="Times New Roman" w:cs="Times New Roman"/>
        </w:rPr>
      </w:pPr>
      <w:r>
        <w:rPr>
          <w:rFonts w:ascii="Times New Roman" w:hAnsi="Times New Roman" w:cs="Times New Roman"/>
        </w:rPr>
        <w:lastRenderedPageBreak/>
        <w:t xml:space="preserve">Lead NRA seeks concurrence and confirmation from all participating NRAs to accept Expression of Interest. </w:t>
      </w:r>
      <w:r w:rsidR="006733B1">
        <w:rPr>
          <w:rFonts w:ascii="Times New Roman" w:hAnsi="Times New Roman" w:cs="Times New Roman"/>
        </w:rPr>
        <w:t xml:space="preserve">If a sufficient number of participating NRAs concur, Lead NRA requests </w:t>
      </w:r>
      <w:r w:rsidR="00016DFF" w:rsidRPr="00A63500">
        <w:rPr>
          <w:rFonts w:ascii="Times New Roman" w:hAnsi="Times New Roman" w:cs="Times New Roman"/>
        </w:rPr>
        <w:t>applicant</w:t>
      </w:r>
      <w:r w:rsidR="006733B1">
        <w:rPr>
          <w:rFonts w:ascii="Times New Roman" w:hAnsi="Times New Roman" w:cs="Times New Roman"/>
        </w:rPr>
        <w:t xml:space="preserve"> to</w:t>
      </w:r>
      <w:r w:rsidR="00016DFF" w:rsidRPr="00A63500">
        <w:rPr>
          <w:rFonts w:ascii="Times New Roman" w:hAnsi="Times New Roman" w:cs="Times New Roman"/>
        </w:rPr>
        <w:t xml:space="preserve"> submit </w:t>
      </w:r>
      <w:r w:rsidR="00C9478A" w:rsidRPr="00A63500">
        <w:rPr>
          <w:rFonts w:ascii="Times New Roman" w:hAnsi="Times New Roman" w:cs="Times New Roman"/>
        </w:rPr>
        <w:t xml:space="preserve">a full application (see point </w:t>
      </w:r>
      <w:r w:rsidR="006733B1">
        <w:rPr>
          <w:rFonts w:ascii="Times New Roman" w:hAnsi="Times New Roman" w:cs="Times New Roman"/>
        </w:rPr>
        <w:t>5</w:t>
      </w:r>
      <w:r w:rsidR="00C9478A" w:rsidRPr="00A63500">
        <w:rPr>
          <w:rFonts w:ascii="Times New Roman" w:hAnsi="Times New Roman" w:cs="Times New Roman"/>
        </w:rPr>
        <w:t xml:space="preserve"> below) and a </w:t>
      </w:r>
      <w:r w:rsidR="00016DFF" w:rsidRPr="00A63500">
        <w:rPr>
          <w:rFonts w:ascii="Times New Roman" w:hAnsi="Times New Roman" w:cs="Times New Roman"/>
        </w:rPr>
        <w:t xml:space="preserve">copy of </w:t>
      </w:r>
      <w:r w:rsidR="00C9478A" w:rsidRPr="00A63500">
        <w:rPr>
          <w:rFonts w:ascii="Times New Roman" w:hAnsi="Times New Roman" w:cs="Times New Roman"/>
        </w:rPr>
        <w:t xml:space="preserve">a </w:t>
      </w:r>
      <w:r w:rsidR="00016DFF" w:rsidRPr="00A63500">
        <w:rPr>
          <w:rFonts w:ascii="Times New Roman" w:hAnsi="Times New Roman" w:cs="Times New Roman"/>
        </w:rPr>
        <w:t xml:space="preserve">letter authorising reference NRA </w:t>
      </w:r>
      <w:r w:rsidR="00A07021" w:rsidRPr="00A63500">
        <w:rPr>
          <w:rFonts w:ascii="Times New Roman" w:hAnsi="Times New Roman" w:cs="Times New Roman"/>
        </w:rPr>
        <w:t>(</w:t>
      </w:r>
      <w:r w:rsidR="000368E1">
        <w:rPr>
          <w:rFonts w:ascii="Times New Roman" w:hAnsi="Times New Roman" w:cs="Times New Roman"/>
        </w:rPr>
        <w:t xml:space="preserve">see model in </w:t>
      </w:r>
      <w:r w:rsidR="00A07021" w:rsidRPr="00A63500">
        <w:rPr>
          <w:rFonts w:ascii="Times New Roman" w:hAnsi="Times New Roman" w:cs="Times New Roman"/>
        </w:rPr>
        <w:t xml:space="preserve">annex </w:t>
      </w:r>
      <w:hyperlink w:anchor="_Annex_2a" w:history="1">
        <w:r w:rsidR="00A07021" w:rsidRPr="00EA3246">
          <w:rPr>
            <w:rStyle w:val="Hyperlink"/>
            <w:rFonts w:ascii="Times New Roman" w:hAnsi="Times New Roman" w:cs="Times New Roman"/>
            <w:color w:val="auto"/>
          </w:rPr>
          <w:t>2a</w:t>
        </w:r>
      </w:hyperlink>
      <w:r w:rsidR="00A07021" w:rsidRPr="00EA3246">
        <w:rPr>
          <w:rFonts w:ascii="Times New Roman" w:hAnsi="Times New Roman" w:cs="Times New Roman"/>
        </w:rPr>
        <w:t xml:space="preserve">) </w:t>
      </w:r>
      <w:r w:rsidR="00016DFF" w:rsidRPr="00EA3246">
        <w:rPr>
          <w:rFonts w:ascii="Times New Roman" w:hAnsi="Times New Roman" w:cs="Times New Roman"/>
        </w:rPr>
        <w:t>or WHO-PQP</w:t>
      </w:r>
      <w:r w:rsidR="006B62D8" w:rsidRPr="00EA3246">
        <w:rPr>
          <w:rFonts w:ascii="Times New Roman" w:hAnsi="Times New Roman" w:cs="Times New Roman"/>
        </w:rPr>
        <w:t xml:space="preserve"> </w:t>
      </w:r>
      <w:r w:rsidR="00A07021" w:rsidRPr="00EA3246">
        <w:rPr>
          <w:rFonts w:ascii="Times New Roman" w:hAnsi="Times New Roman" w:cs="Times New Roman"/>
        </w:rPr>
        <w:t>(</w:t>
      </w:r>
      <w:r w:rsidR="000368E1" w:rsidRPr="00EA3246">
        <w:rPr>
          <w:rFonts w:ascii="Times New Roman" w:hAnsi="Times New Roman" w:cs="Times New Roman"/>
        </w:rPr>
        <w:t xml:space="preserve">see model in </w:t>
      </w:r>
      <w:r w:rsidR="00A07021" w:rsidRPr="00EA3246">
        <w:rPr>
          <w:rFonts w:ascii="Times New Roman" w:hAnsi="Times New Roman" w:cs="Times New Roman"/>
        </w:rPr>
        <w:t xml:space="preserve">annex </w:t>
      </w:r>
      <w:hyperlink w:anchor="_Annex_2b" w:history="1">
        <w:r w:rsidR="00A07021" w:rsidRPr="00EA3246">
          <w:rPr>
            <w:rStyle w:val="Hyperlink"/>
            <w:rFonts w:ascii="Times New Roman" w:hAnsi="Times New Roman" w:cs="Times New Roman"/>
            <w:color w:val="auto"/>
          </w:rPr>
          <w:t>2b</w:t>
        </w:r>
      </w:hyperlink>
      <w:r w:rsidR="00A07021" w:rsidRPr="00EA3246">
        <w:rPr>
          <w:rFonts w:ascii="Times New Roman" w:hAnsi="Times New Roman" w:cs="Times New Roman"/>
        </w:rPr>
        <w:t>)</w:t>
      </w:r>
      <w:r w:rsidR="00016DFF" w:rsidRPr="00EA3246">
        <w:rPr>
          <w:rFonts w:ascii="Times New Roman" w:hAnsi="Times New Roman" w:cs="Times New Roman"/>
        </w:rPr>
        <w:t xml:space="preserve">to </w:t>
      </w:r>
      <w:r w:rsidR="00016DFF" w:rsidRPr="00A63500">
        <w:rPr>
          <w:rFonts w:ascii="Times New Roman" w:hAnsi="Times New Roman" w:cs="Times New Roman"/>
        </w:rPr>
        <w:t xml:space="preserve">share confidential information on </w:t>
      </w:r>
      <w:r w:rsidR="00C9478A" w:rsidRPr="00A63500">
        <w:rPr>
          <w:rFonts w:ascii="Times New Roman" w:hAnsi="Times New Roman" w:cs="Times New Roman"/>
        </w:rPr>
        <w:t xml:space="preserve">the </w:t>
      </w:r>
      <w:r w:rsidR="00016DFF" w:rsidRPr="00A63500">
        <w:rPr>
          <w:rFonts w:ascii="Times New Roman" w:hAnsi="Times New Roman" w:cs="Times New Roman"/>
        </w:rPr>
        <w:t>product and its assessment and inspections’ reports.</w:t>
      </w:r>
      <w:r w:rsidR="00F441B6" w:rsidRPr="00A63500">
        <w:rPr>
          <w:rFonts w:ascii="Times New Roman" w:hAnsi="Times New Roman" w:cs="Times New Roman"/>
        </w:rPr>
        <w:t xml:space="preserve"> Applicants must submit applications to all participating NRAs as announced </w:t>
      </w:r>
      <w:r w:rsidR="00F441B6" w:rsidRPr="006B62D8">
        <w:rPr>
          <w:rFonts w:ascii="Times New Roman" w:hAnsi="Times New Roman" w:cs="Times New Roman"/>
        </w:rPr>
        <w:t xml:space="preserve">in the </w:t>
      </w:r>
      <w:r w:rsidR="00C02A8A" w:rsidRPr="006B62D8">
        <w:rPr>
          <w:rFonts w:ascii="Times New Roman" w:hAnsi="Times New Roman" w:cs="Times New Roman"/>
        </w:rPr>
        <w:t>Lead NRA request</w:t>
      </w:r>
      <w:r w:rsidR="00F441B6" w:rsidRPr="006B62D8">
        <w:rPr>
          <w:rFonts w:ascii="Times New Roman" w:hAnsi="Times New Roman" w:cs="Times New Roman"/>
        </w:rPr>
        <w:t>.</w:t>
      </w:r>
    </w:p>
    <w:p w:rsidR="00C9478A" w:rsidRPr="00A63500" w:rsidRDefault="00C9478A" w:rsidP="00AB6888">
      <w:pPr>
        <w:pStyle w:val="ListParagraph"/>
        <w:jc w:val="both"/>
        <w:rPr>
          <w:rFonts w:ascii="Times New Roman" w:hAnsi="Times New Roman" w:cs="Times New Roman"/>
        </w:rPr>
      </w:pPr>
    </w:p>
    <w:p w:rsidR="00B175D3" w:rsidRPr="000407DA" w:rsidRDefault="00B175D3" w:rsidP="00AB6888">
      <w:pPr>
        <w:pStyle w:val="ListParagraph"/>
        <w:numPr>
          <w:ilvl w:val="0"/>
          <w:numId w:val="1"/>
        </w:numPr>
        <w:spacing w:after="0" w:line="240" w:lineRule="auto"/>
        <w:jc w:val="both"/>
        <w:rPr>
          <w:rFonts w:ascii="Times New Roman" w:hAnsi="Times New Roman" w:cs="Times New Roman"/>
        </w:rPr>
      </w:pPr>
      <w:r w:rsidRPr="000407DA">
        <w:rPr>
          <w:rFonts w:ascii="Times New Roman" w:hAnsi="Times New Roman" w:cs="Times New Roman"/>
        </w:rPr>
        <w:t xml:space="preserve">Applications must comply with the following aspects: </w:t>
      </w:r>
    </w:p>
    <w:p w:rsidR="00B175D3" w:rsidRPr="000407DA" w:rsidRDefault="00B175D3" w:rsidP="00AB6888">
      <w:pPr>
        <w:pStyle w:val="ListParagraph"/>
        <w:jc w:val="both"/>
        <w:rPr>
          <w:rFonts w:ascii="Times New Roman" w:hAnsi="Times New Roman" w:cs="Times New Roman"/>
        </w:rPr>
      </w:pPr>
    </w:p>
    <w:p w:rsidR="00B175D3" w:rsidRPr="000407DA" w:rsidRDefault="00B175D3" w:rsidP="00AB6888">
      <w:pPr>
        <w:pStyle w:val="ListParagraph"/>
        <w:spacing w:after="0" w:line="240" w:lineRule="auto"/>
        <w:ind w:left="1260" w:hanging="267"/>
        <w:jc w:val="both"/>
        <w:rPr>
          <w:rFonts w:ascii="Times New Roman" w:hAnsi="Times New Roman" w:cs="Times New Roman"/>
        </w:rPr>
      </w:pPr>
      <w:r w:rsidRPr="000407DA">
        <w:rPr>
          <w:rFonts w:ascii="Times New Roman" w:hAnsi="Times New Roman" w:cs="Times New Roman"/>
        </w:rPr>
        <w:t>a)</w:t>
      </w:r>
      <w:r w:rsidR="006B62D8">
        <w:rPr>
          <w:rFonts w:ascii="Times New Roman" w:hAnsi="Times New Roman" w:cs="Times New Roman"/>
        </w:rPr>
        <w:t xml:space="preserve">  </w:t>
      </w:r>
      <w:r w:rsidRPr="000407DA">
        <w:rPr>
          <w:rFonts w:ascii="Times New Roman" w:hAnsi="Times New Roman" w:cs="Times New Roman"/>
        </w:rPr>
        <w:t xml:space="preserve">the technical application dossier must include the same technical information as that submitted to reference NRA or WHO-PQP; </w:t>
      </w:r>
    </w:p>
    <w:p w:rsidR="00B175D3" w:rsidRPr="000407DA" w:rsidRDefault="00B175D3" w:rsidP="00AB6888">
      <w:pPr>
        <w:pStyle w:val="ListParagraph"/>
        <w:spacing w:after="0" w:line="240" w:lineRule="auto"/>
        <w:ind w:left="1260" w:hanging="267"/>
        <w:jc w:val="both"/>
        <w:rPr>
          <w:rFonts w:ascii="Times New Roman" w:hAnsi="Times New Roman" w:cs="Times New Roman"/>
        </w:rPr>
      </w:pPr>
      <w:r w:rsidRPr="000407DA">
        <w:rPr>
          <w:rFonts w:ascii="Times New Roman" w:hAnsi="Times New Roman" w:cs="Times New Roman"/>
        </w:rPr>
        <w:t xml:space="preserve">b) the technical part of the dossier in ACTD or ICH-CTD format shall be provided in electronic form to </w:t>
      </w:r>
      <w:r w:rsidR="006733B1">
        <w:rPr>
          <w:rFonts w:ascii="Times New Roman" w:hAnsi="Times New Roman" w:cs="Times New Roman"/>
        </w:rPr>
        <w:t xml:space="preserve">be uploaded to </w:t>
      </w:r>
      <w:r w:rsidRPr="000407DA">
        <w:rPr>
          <w:rFonts w:ascii="Times New Roman" w:hAnsi="Times New Roman" w:cs="Times New Roman"/>
        </w:rPr>
        <w:t xml:space="preserve">a dedicated, secure web site set up by WHO; </w:t>
      </w:r>
      <w:r w:rsidR="00C61DE5" w:rsidRPr="000407DA">
        <w:rPr>
          <w:rFonts w:ascii="Times New Roman" w:hAnsi="Times New Roman" w:cs="Times New Roman"/>
        </w:rPr>
        <w:t xml:space="preserve">only </w:t>
      </w:r>
      <w:r w:rsidRPr="000407DA">
        <w:rPr>
          <w:rFonts w:ascii="Times New Roman" w:hAnsi="Times New Roman" w:cs="Times New Roman"/>
        </w:rPr>
        <w:t>participating NRAs will be able to access and download the dossiers;</w:t>
      </w:r>
    </w:p>
    <w:p w:rsidR="00B175D3" w:rsidRPr="000407DA" w:rsidRDefault="00B175D3" w:rsidP="00AB6888">
      <w:pPr>
        <w:pStyle w:val="ListParagraph"/>
        <w:spacing w:after="0" w:line="240" w:lineRule="auto"/>
        <w:ind w:left="1260" w:hanging="267"/>
        <w:jc w:val="both"/>
        <w:rPr>
          <w:rFonts w:ascii="Times New Roman" w:hAnsi="Times New Roman" w:cs="Times New Roman"/>
        </w:rPr>
      </w:pPr>
      <w:r w:rsidRPr="000407DA">
        <w:rPr>
          <w:rFonts w:ascii="Times New Roman" w:hAnsi="Times New Roman" w:cs="Times New Roman"/>
        </w:rPr>
        <w:t>c)</w:t>
      </w:r>
      <w:r w:rsidR="006B62D8">
        <w:rPr>
          <w:rFonts w:ascii="Times New Roman" w:hAnsi="Times New Roman" w:cs="Times New Roman"/>
        </w:rPr>
        <w:t xml:space="preserve">  </w:t>
      </w:r>
      <w:r w:rsidRPr="000407DA">
        <w:rPr>
          <w:rFonts w:ascii="Times New Roman" w:hAnsi="Times New Roman" w:cs="Times New Roman"/>
        </w:rPr>
        <w:t xml:space="preserve">administrative part of dossier specific to each participating NRA requirements will be submitted directly to each participating authority; </w:t>
      </w:r>
    </w:p>
    <w:p w:rsidR="00B175D3" w:rsidRPr="000407DA" w:rsidRDefault="00B175D3" w:rsidP="00AB6888">
      <w:pPr>
        <w:pStyle w:val="ListParagraph"/>
        <w:spacing w:after="0" w:line="240" w:lineRule="auto"/>
        <w:ind w:left="1260" w:hanging="267"/>
        <w:jc w:val="both"/>
        <w:rPr>
          <w:rFonts w:ascii="Times New Roman" w:hAnsi="Times New Roman" w:cs="Times New Roman"/>
        </w:rPr>
      </w:pPr>
      <w:r w:rsidRPr="000407DA">
        <w:rPr>
          <w:rFonts w:ascii="Times New Roman" w:hAnsi="Times New Roman" w:cs="Times New Roman"/>
        </w:rPr>
        <w:t>d)</w:t>
      </w:r>
      <w:r w:rsidR="006B62D8">
        <w:rPr>
          <w:rFonts w:ascii="Times New Roman" w:hAnsi="Times New Roman" w:cs="Times New Roman"/>
        </w:rPr>
        <w:t xml:space="preserve">  </w:t>
      </w:r>
      <w:r w:rsidRPr="000407DA">
        <w:rPr>
          <w:rFonts w:ascii="Times New Roman" w:hAnsi="Times New Roman" w:cs="Times New Roman"/>
        </w:rPr>
        <w:t xml:space="preserve">fees as required by each participating NRA will be paid according to normal national procedures. </w:t>
      </w:r>
    </w:p>
    <w:p w:rsidR="000368E1" w:rsidRPr="000407DA" w:rsidRDefault="000368E1" w:rsidP="00AB6888">
      <w:pPr>
        <w:pStyle w:val="ListParagraph"/>
        <w:jc w:val="both"/>
        <w:rPr>
          <w:rFonts w:ascii="Times New Roman" w:hAnsi="Times New Roman" w:cs="Times New Roman"/>
        </w:rPr>
      </w:pPr>
    </w:p>
    <w:p w:rsidR="000368E1" w:rsidRDefault="00C61DE5" w:rsidP="00AB6888">
      <w:pPr>
        <w:pStyle w:val="ListParagraph"/>
        <w:numPr>
          <w:ilvl w:val="0"/>
          <w:numId w:val="1"/>
        </w:numPr>
        <w:spacing w:after="0" w:line="240" w:lineRule="auto"/>
        <w:jc w:val="both"/>
        <w:rPr>
          <w:rFonts w:ascii="Times New Roman" w:hAnsi="Times New Roman" w:cs="Times New Roman"/>
        </w:rPr>
      </w:pPr>
      <w:r w:rsidRPr="000407DA">
        <w:rPr>
          <w:rFonts w:ascii="Times New Roman" w:hAnsi="Times New Roman"/>
        </w:rPr>
        <w:t>The administrative part of the dossier, including fees when applicable, shall be submitted individually to all participating NRAs</w:t>
      </w:r>
      <w:r w:rsidR="006733B1">
        <w:rPr>
          <w:rFonts w:ascii="Times New Roman" w:hAnsi="Times New Roman"/>
        </w:rPr>
        <w:t xml:space="preserve"> following locally applicable procedures</w:t>
      </w:r>
      <w:r w:rsidRPr="000407DA">
        <w:rPr>
          <w:rFonts w:ascii="Times New Roman" w:hAnsi="Times New Roman"/>
        </w:rPr>
        <w:t>. The</w:t>
      </w:r>
      <w:r>
        <w:rPr>
          <w:rFonts w:ascii="Times New Roman" w:hAnsi="Times New Roman"/>
        </w:rPr>
        <w:t xml:space="preserve"> technical part of the dossier shall be uploaded to a dedicated, secure web site managed by WHO (uploading instructions will be provided).</w:t>
      </w:r>
      <w:r w:rsidR="006B62D8">
        <w:rPr>
          <w:rFonts w:ascii="Times New Roman" w:hAnsi="Times New Roman"/>
        </w:rPr>
        <w:t xml:space="preserve"> </w:t>
      </w:r>
      <w:r w:rsidR="000368E1" w:rsidRPr="000368E1">
        <w:rPr>
          <w:rFonts w:ascii="Times New Roman" w:hAnsi="Times New Roman" w:cs="Times New Roman"/>
        </w:rPr>
        <w:t>Review of applications will start only after all participating NRAs have received the application(s) and related documentation</w:t>
      </w:r>
      <w:r w:rsidR="00CC34F4">
        <w:rPr>
          <w:rFonts w:ascii="Times New Roman" w:hAnsi="Times New Roman" w:cs="Times New Roman"/>
        </w:rPr>
        <w:t xml:space="preserve"> and have considered it accepted for assessment</w:t>
      </w:r>
      <w:r w:rsidR="000368E1" w:rsidRPr="000368E1">
        <w:rPr>
          <w:rFonts w:ascii="Times New Roman" w:hAnsi="Times New Roman" w:cs="Times New Roman"/>
        </w:rPr>
        <w:t xml:space="preserve">. </w:t>
      </w:r>
    </w:p>
    <w:p w:rsidR="00C61DE5" w:rsidRDefault="00C61DE5" w:rsidP="00AB6888">
      <w:pPr>
        <w:pStyle w:val="ListParagraph"/>
        <w:spacing w:after="0" w:line="240" w:lineRule="auto"/>
        <w:jc w:val="both"/>
        <w:rPr>
          <w:rFonts w:ascii="Times New Roman" w:hAnsi="Times New Roman" w:cs="Times New Roman"/>
        </w:rPr>
      </w:pPr>
    </w:p>
    <w:p w:rsidR="00AB6888" w:rsidRDefault="00C61DE5" w:rsidP="00AB6888">
      <w:pPr>
        <w:pStyle w:val="ColorfulList-Accent11"/>
        <w:numPr>
          <w:ilvl w:val="0"/>
          <w:numId w:val="1"/>
        </w:numPr>
        <w:spacing w:after="0" w:line="240" w:lineRule="auto"/>
        <w:jc w:val="both"/>
        <w:rPr>
          <w:rFonts w:ascii="Times New Roman" w:hAnsi="Times New Roman"/>
        </w:rPr>
      </w:pPr>
      <w:r>
        <w:rPr>
          <w:rFonts w:ascii="Times New Roman" w:hAnsi="Times New Roman"/>
        </w:rPr>
        <w:t>The L</w:t>
      </w:r>
      <w:r w:rsidRPr="00A63500">
        <w:rPr>
          <w:rFonts w:ascii="Times New Roman" w:hAnsi="Times New Roman"/>
        </w:rPr>
        <w:t>ead NRA coordinate</w:t>
      </w:r>
      <w:r>
        <w:rPr>
          <w:rFonts w:ascii="Times New Roman" w:hAnsi="Times New Roman"/>
        </w:rPr>
        <w:t>s</w:t>
      </w:r>
      <w:r w:rsidRPr="00A63500">
        <w:rPr>
          <w:rFonts w:ascii="Times New Roman" w:hAnsi="Times New Roman"/>
        </w:rPr>
        <w:t xml:space="preserve"> and facilitate</w:t>
      </w:r>
      <w:r>
        <w:rPr>
          <w:rFonts w:ascii="Times New Roman" w:hAnsi="Times New Roman"/>
        </w:rPr>
        <w:t>s</w:t>
      </w:r>
      <w:r w:rsidRPr="00A63500">
        <w:rPr>
          <w:rFonts w:ascii="Times New Roman" w:hAnsi="Times New Roman"/>
        </w:rPr>
        <w:t xml:space="preserve"> the implementation of the procedure and act</w:t>
      </w:r>
      <w:r>
        <w:rPr>
          <w:rFonts w:ascii="Times New Roman" w:hAnsi="Times New Roman"/>
        </w:rPr>
        <w:t>s as ‘rapporteur’. The L</w:t>
      </w:r>
      <w:r w:rsidRPr="00A63500">
        <w:rPr>
          <w:rFonts w:ascii="Times New Roman" w:hAnsi="Times New Roman"/>
        </w:rPr>
        <w:t xml:space="preserve">ead NRA will undertake the following steps (further addressed below and shown in flowchart next page):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a) verify that all participating NRAs have received the </w:t>
      </w:r>
      <w:r>
        <w:rPr>
          <w:rFonts w:ascii="Times New Roman" w:hAnsi="Times New Roman"/>
        </w:rPr>
        <w:t xml:space="preserve">administrative part of </w:t>
      </w:r>
      <w:r w:rsidRPr="00A63500">
        <w:rPr>
          <w:rFonts w:ascii="Times New Roman" w:hAnsi="Times New Roman"/>
        </w:rPr>
        <w:t xml:space="preserve">application dossier;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b) verify that applicant’s submission is complete and receive confirmation by participating NRAs;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c) request applicant to provide missing documentation, if applicable;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d) ensure that exchange of letters for sharing documentation (see below) is completed;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e) request reference NRA to share confidential information and assessment and inspections’ reports; </w:t>
      </w:r>
    </w:p>
    <w:p w:rsidR="00AB6888" w:rsidRDefault="00C61DE5" w:rsidP="00AB6888">
      <w:pPr>
        <w:pStyle w:val="ColorfulList-Accent11"/>
        <w:spacing w:after="0" w:line="240" w:lineRule="auto"/>
        <w:ind w:left="1260" w:hanging="270"/>
        <w:jc w:val="both"/>
        <w:rPr>
          <w:rFonts w:ascii="Times New Roman" w:hAnsi="Times New Roman"/>
        </w:rPr>
      </w:pPr>
      <w:r w:rsidRPr="00A63500">
        <w:rPr>
          <w:rFonts w:ascii="Times New Roman" w:hAnsi="Times New Roman"/>
        </w:rPr>
        <w:t xml:space="preserve">f) </w:t>
      </w:r>
      <w:r w:rsidRPr="00155A21">
        <w:rPr>
          <w:rFonts w:ascii="Times New Roman" w:hAnsi="Times New Roman"/>
        </w:rPr>
        <w:t>lead the assessment of application dossier, coordinate the preparation of draft assessment report  and circulate to participating NRAs (this is done by sharing tasks among all participating NRAs, as feasible)</w:t>
      </w:r>
      <w:r w:rsidRPr="00A63500">
        <w:rPr>
          <w:rFonts w:ascii="Times New Roman" w:hAnsi="Times New Roman"/>
        </w:rPr>
        <w:t xml:space="preserve">; </w:t>
      </w:r>
    </w:p>
    <w:p w:rsidR="00AB6888" w:rsidRDefault="00C61DE5" w:rsidP="00AB6888">
      <w:pPr>
        <w:pStyle w:val="ColorfulList-Accent11"/>
        <w:spacing w:after="0" w:line="240" w:lineRule="auto"/>
        <w:ind w:left="1260" w:hanging="270"/>
        <w:jc w:val="both"/>
        <w:rPr>
          <w:rFonts w:ascii="Times New Roman" w:hAnsi="Times New Roman"/>
        </w:rPr>
      </w:pPr>
      <w:r>
        <w:rPr>
          <w:rFonts w:ascii="Times New Roman" w:hAnsi="Times New Roman"/>
        </w:rPr>
        <w:t>g</w:t>
      </w:r>
      <w:r w:rsidRPr="00A63500">
        <w:rPr>
          <w:rFonts w:ascii="Times New Roman" w:hAnsi="Times New Roman"/>
        </w:rPr>
        <w:t xml:space="preserve">) receive comments by participating NRAs about draft assessment report and, if applicable, need to request additional information from applicant; </w:t>
      </w:r>
    </w:p>
    <w:p w:rsidR="00AB6888" w:rsidRDefault="00C61DE5" w:rsidP="00AB6888">
      <w:pPr>
        <w:pStyle w:val="ColorfulList-Accent11"/>
        <w:spacing w:after="0" w:line="240" w:lineRule="auto"/>
        <w:ind w:left="1260" w:hanging="270"/>
        <w:jc w:val="both"/>
        <w:rPr>
          <w:rFonts w:ascii="Times New Roman" w:hAnsi="Times New Roman"/>
        </w:rPr>
      </w:pPr>
      <w:r>
        <w:rPr>
          <w:rFonts w:ascii="Times New Roman" w:hAnsi="Times New Roman"/>
        </w:rPr>
        <w:t>h</w:t>
      </w:r>
      <w:r w:rsidRPr="00A63500">
        <w:rPr>
          <w:rFonts w:ascii="Times New Roman" w:hAnsi="Times New Roman"/>
        </w:rPr>
        <w:t xml:space="preserve">) receive and circulate feedback from applicant, if applicable; </w:t>
      </w:r>
    </w:p>
    <w:p w:rsidR="00AB6888" w:rsidRDefault="00C61DE5" w:rsidP="00AB6888">
      <w:pPr>
        <w:pStyle w:val="ColorfulList-Accent11"/>
        <w:spacing w:after="0" w:line="240" w:lineRule="auto"/>
        <w:ind w:left="1260" w:hanging="270"/>
        <w:jc w:val="both"/>
        <w:rPr>
          <w:rFonts w:ascii="Times New Roman" w:hAnsi="Times New Roman"/>
        </w:rPr>
      </w:pPr>
      <w:r>
        <w:rPr>
          <w:rFonts w:ascii="Times New Roman" w:hAnsi="Times New Roman"/>
        </w:rPr>
        <w:t>i</w:t>
      </w:r>
      <w:r w:rsidRPr="00A63500">
        <w:rPr>
          <w:rFonts w:ascii="Times New Roman" w:hAnsi="Times New Roman"/>
        </w:rPr>
        <w:t>) set date for assessors from participating NRAs to participate in JA session;</w:t>
      </w:r>
    </w:p>
    <w:p w:rsidR="00C61DE5" w:rsidRDefault="00C61DE5" w:rsidP="00AB6888">
      <w:pPr>
        <w:pStyle w:val="ColorfulList-Accent11"/>
        <w:spacing w:after="0" w:line="240" w:lineRule="auto"/>
        <w:ind w:left="1260" w:hanging="270"/>
        <w:jc w:val="both"/>
        <w:rPr>
          <w:rFonts w:ascii="Times New Roman" w:hAnsi="Times New Roman"/>
        </w:rPr>
      </w:pPr>
      <w:r>
        <w:rPr>
          <w:rFonts w:ascii="Times New Roman" w:hAnsi="Times New Roman"/>
        </w:rPr>
        <w:t>j</w:t>
      </w:r>
      <w:r w:rsidRPr="00A63500">
        <w:rPr>
          <w:rFonts w:ascii="Times New Roman" w:hAnsi="Times New Roman"/>
        </w:rPr>
        <w:t xml:space="preserve">) coordinate with WHO and/or expert(s) from reference NRA for participation in JA session. </w:t>
      </w:r>
    </w:p>
    <w:p w:rsidR="00C61DE5" w:rsidRPr="00A63500" w:rsidRDefault="00C61DE5" w:rsidP="00AB6888">
      <w:pPr>
        <w:pStyle w:val="ColorfulList-Accent11"/>
        <w:spacing w:after="0" w:line="240" w:lineRule="auto"/>
        <w:jc w:val="both"/>
        <w:rPr>
          <w:rFonts w:ascii="Times New Roman" w:hAnsi="Times New Roman"/>
        </w:rPr>
      </w:pPr>
    </w:p>
    <w:p w:rsidR="00C61DE5" w:rsidRPr="00A63500" w:rsidRDefault="00C61DE5" w:rsidP="00AB6888">
      <w:pPr>
        <w:pStyle w:val="ColorfulList-Accent11"/>
        <w:numPr>
          <w:ilvl w:val="0"/>
          <w:numId w:val="1"/>
        </w:numPr>
        <w:spacing w:after="0" w:line="240" w:lineRule="auto"/>
        <w:jc w:val="both"/>
        <w:rPr>
          <w:rFonts w:ascii="Times New Roman" w:hAnsi="Times New Roman"/>
        </w:rPr>
      </w:pPr>
      <w:r w:rsidRPr="00A63500">
        <w:rPr>
          <w:rFonts w:ascii="Times New Roman" w:hAnsi="Times New Roman"/>
        </w:rPr>
        <w:t>An exchange of formal agreement letters takes place, facilitated by WHO, between participating NRAs and either reference NRA or WHO-PQ</w:t>
      </w:r>
      <w:r>
        <w:rPr>
          <w:rFonts w:ascii="Times New Roman" w:hAnsi="Times New Roman"/>
        </w:rPr>
        <w:t xml:space="preserve">. </w:t>
      </w:r>
      <w:r w:rsidRPr="00A63500">
        <w:rPr>
          <w:rFonts w:ascii="Times New Roman" w:hAnsi="Times New Roman"/>
        </w:rPr>
        <w:t xml:space="preserve">The exchange of letters addresses the following matters: </w:t>
      </w:r>
    </w:p>
    <w:p w:rsidR="00C61DE5" w:rsidRPr="00A63500" w:rsidRDefault="00C61DE5" w:rsidP="00AB6888">
      <w:pPr>
        <w:pStyle w:val="ColorfulList-Accent11"/>
        <w:numPr>
          <w:ilvl w:val="1"/>
          <w:numId w:val="1"/>
        </w:numPr>
        <w:spacing w:after="0" w:line="240" w:lineRule="auto"/>
        <w:jc w:val="both"/>
        <w:rPr>
          <w:rFonts w:ascii="Times New Roman" w:hAnsi="Times New Roman"/>
        </w:rPr>
      </w:pPr>
      <w:r w:rsidRPr="00A63500">
        <w:rPr>
          <w:rFonts w:ascii="Times New Roman" w:hAnsi="Times New Roman"/>
        </w:rPr>
        <w:t>participating NRAs convey to reference NRA/PQP their willingness to implement JA for a specific product;</w:t>
      </w:r>
    </w:p>
    <w:p w:rsidR="00C61DE5" w:rsidRDefault="00C61DE5" w:rsidP="00AB6888">
      <w:pPr>
        <w:pStyle w:val="ColorfulList-Accent11"/>
        <w:numPr>
          <w:ilvl w:val="1"/>
          <w:numId w:val="1"/>
        </w:numPr>
        <w:spacing w:after="0" w:line="240" w:lineRule="auto"/>
        <w:jc w:val="both"/>
        <w:rPr>
          <w:rFonts w:ascii="Times New Roman" w:hAnsi="Times New Roman"/>
        </w:rPr>
      </w:pPr>
      <w:r w:rsidRPr="00A63500">
        <w:rPr>
          <w:rFonts w:ascii="Times New Roman" w:hAnsi="Times New Roman"/>
        </w:rPr>
        <w:t xml:space="preserve">participating NRAs request access to information and commit to comply with confidentiality requirements; </w:t>
      </w:r>
    </w:p>
    <w:p w:rsidR="00C61DE5" w:rsidRPr="00A63500" w:rsidRDefault="00C61DE5" w:rsidP="00AB6888">
      <w:pPr>
        <w:pStyle w:val="ColorfulList-Accent11"/>
        <w:spacing w:after="0" w:line="240" w:lineRule="auto"/>
        <w:jc w:val="both"/>
        <w:rPr>
          <w:rFonts w:ascii="Times New Roman" w:hAnsi="Times New Roman"/>
        </w:rPr>
      </w:pPr>
      <w:r w:rsidRPr="00A63500">
        <w:rPr>
          <w:rFonts w:ascii="Times New Roman" w:hAnsi="Times New Roman"/>
        </w:rPr>
        <w:lastRenderedPageBreak/>
        <w:t>If part of the information contained in the application dossier or in the reference NRA/PQ documentation to be shared does not belong to the applicant or to reference NRA/PQ, separate confidentiality commitments will have to be signed.</w:t>
      </w:r>
    </w:p>
    <w:p w:rsidR="00C61DE5" w:rsidRPr="00A63500" w:rsidRDefault="00C61DE5" w:rsidP="00AB6888">
      <w:pPr>
        <w:pStyle w:val="ColorfulList-Accent11"/>
        <w:spacing w:after="0" w:line="240" w:lineRule="auto"/>
        <w:jc w:val="both"/>
        <w:rPr>
          <w:rFonts w:ascii="Times New Roman" w:hAnsi="Times New Roman"/>
        </w:rPr>
      </w:pPr>
    </w:p>
    <w:p w:rsidR="00C61DE5" w:rsidRDefault="00C61DE5" w:rsidP="00AB6888">
      <w:pPr>
        <w:pStyle w:val="ColorfulList-Accent11"/>
        <w:numPr>
          <w:ilvl w:val="0"/>
          <w:numId w:val="1"/>
        </w:numPr>
        <w:spacing w:after="0" w:line="240" w:lineRule="auto"/>
        <w:jc w:val="both"/>
        <w:rPr>
          <w:rFonts w:ascii="Times New Roman" w:hAnsi="Times New Roman"/>
        </w:rPr>
      </w:pPr>
      <w:r w:rsidRPr="00A63500">
        <w:rPr>
          <w:rFonts w:ascii="Times New Roman" w:hAnsi="Times New Roman"/>
        </w:rPr>
        <w:t xml:space="preserve">There could be situations in which a product proposed for JA is already authorized for marketing in one or more AMS. In these cases the NRA </w:t>
      </w:r>
      <w:r>
        <w:rPr>
          <w:rFonts w:ascii="Times New Roman" w:hAnsi="Times New Roman"/>
        </w:rPr>
        <w:t xml:space="preserve">that has already approved the product </w:t>
      </w:r>
      <w:r w:rsidRPr="00A63500">
        <w:rPr>
          <w:rFonts w:ascii="Times New Roman" w:hAnsi="Times New Roman"/>
        </w:rPr>
        <w:t>decides if it wishes to participate in the JA anyway. The applicant must act according to the NRA decision and submit a full application according to the JA procedure. The outcome of the JA may result in no change, in a variation to the existing marketing authorization, or in a new marketing authorization.</w:t>
      </w:r>
    </w:p>
    <w:p w:rsidR="00C61DE5" w:rsidRDefault="00C61DE5" w:rsidP="00AB6888">
      <w:pPr>
        <w:spacing w:after="0" w:line="240" w:lineRule="auto"/>
        <w:jc w:val="both"/>
        <w:rPr>
          <w:rFonts w:ascii="Times New Roman" w:hAnsi="Times New Roman"/>
        </w:rPr>
      </w:pPr>
    </w:p>
    <w:p w:rsidR="00C61DE5" w:rsidRDefault="00C61DE5" w:rsidP="00AB6888">
      <w:pPr>
        <w:pStyle w:val="ColorfulList-Accent11"/>
        <w:numPr>
          <w:ilvl w:val="0"/>
          <w:numId w:val="1"/>
        </w:numPr>
        <w:spacing w:after="0" w:line="240" w:lineRule="auto"/>
        <w:jc w:val="both"/>
        <w:rPr>
          <w:rFonts w:ascii="Times New Roman" w:hAnsi="Times New Roman"/>
        </w:rPr>
      </w:pPr>
      <w:r>
        <w:rPr>
          <w:rFonts w:ascii="Times New Roman" w:hAnsi="Times New Roman"/>
        </w:rPr>
        <w:t>Participating NRAs notify the L</w:t>
      </w:r>
      <w:r w:rsidRPr="00A63500">
        <w:rPr>
          <w:rFonts w:ascii="Times New Roman" w:hAnsi="Times New Roman"/>
        </w:rPr>
        <w:t xml:space="preserve">ead NRA that application and reference documentation from reference NRA or WHO-PQP have been received. When all NRAs have received the necessary documentation and notifications have been received, </w:t>
      </w:r>
      <w:r>
        <w:rPr>
          <w:rFonts w:ascii="Times New Roman" w:hAnsi="Times New Roman"/>
        </w:rPr>
        <w:t>L</w:t>
      </w:r>
      <w:r w:rsidRPr="00A63500">
        <w:rPr>
          <w:rFonts w:ascii="Times New Roman" w:hAnsi="Times New Roman"/>
        </w:rPr>
        <w:t xml:space="preserve">ead NRA tentatively plans a JA session to take place within an agreed time line that can be different for different products. During the time </w:t>
      </w:r>
      <w:r w:rsidRPr="00155A21">
        <w:rPr>
          <w:rFonts w:ascii="Times New Roman" w:hAnsi="Times New Roman"/>
        </w:rPr>
        <w:t>leading to the JA session, the Lead NRA coordinates the preparation of a draft assessment report and shares it with all participating NRAs. NRAs notify the Lead NRA about their observations, if any, on the doc</w:t>
      </w:r>
      <w:r w:rsidRPr="00A63500">
        <w:rPr>
          <w:rFonts w:ascii="Times New Roman" w:hAnsi="Times New Roman"/>
        </w:rPr>
        <w:t>umentation. Observations may entail requesting additional documentation from th</w:t>
      </w:r>
      <w:r>
        <w:rPr>
          <w:rFonts w:ascii="Times New Roman" w:hAnsi="Times New Roman"/>
        </w:rPr>
        <w:t>e applicant. In this case, the L</w:t>
      </w:r>
      <w:r w:rsidRPr="00A63500">
        <w:rPr>
          <w:rFonts w:ascii="Times New Roman" w:hAnsi="Times New Roman"/>
        </w:rPr>
        <w:t>ead NRA will ensure that all observations have been received and then notify the applicant as required. The time frame is suspended until response is received from the applicant addressing the observations raised.</w:t>
      </w:r>
    </w:p>
    <w:p w:rsidR="00C61DE5" w:rsidRDefault="00C61DE5" w:rsidP="00AB6888">
      <w:pPr>
        <w:pStyle w:val="ColorfulList-Accent11"/>
        <w:jc w:val="both"/>
        <w:rPr>
          <w:rFonts w:ascii="Times New Roman" w:hAnsi="Times New Roman"/>
        </w:rPr>
      </w:pPr>
    </w:p>
    <w:p w:rsidR="00C61DE5" w:rsidRDefault="00C61DE5" w:rsidP="00AB6888">
      <w:pPr>
        <w:pStyle w:val="ColorfulList-Accent11"/>
        <w:numPr>
          <w:ilvl w:val="0"/>
          <w:numId w:val="1"/>
        </w:numPr>
        <w:spacing w:after="0" w:line="240" w:lineRule="auto"/>
        <w:jc w:val="both"/>
        <w:rPr>
          <w:rFonts w:ascii="Times New Roman" w:hAnsi="Times New Roman"/>
        </w:rPr>
      </w:pPr>
      <w:r>
        <w:rPr>
          <w:rFonts w:ascii="Times New Roman" w:hAnsi="Times New Roman"/>
        </w:rPr>
        <w:t xml:space="preserve">After the feedback from the applicant has been received the Lead NRA shares it with all participating NRAs and </w:t>
      </w:r>
      <w:r w:rsidR="000407DA">
        <w:rPr>
          <w:rFonts w:ascii="Times New Roman" w:hAnsi="Times New Roman"/>
        </w:rPr>
        <w:t xml:space="preserve">coordinates the preparation of </w:t>
      </w:r>
      <w:r>
        <w:rPr>
          <w:rFonts w:ascii="Times New Roman" w:hAnsi="Times New Roman"/>
        </w:rPr>
        <w:t>a draft joint assessment report. If all participating NRA concur with the conclusions stated in the draft report and deem unnecessary to raise further matters, then the report is formally transmitted to all NRAs for national decision-making. If one or more NRAs deem necessary a face-to-face discussion, the Lead NRA organizes a JA session with support from WHO</w:t>
      </w:r>
      <w:r w:rsidR="006B62D8">
        <w:rPr>
          <w:rFonts w:ascii="Times New Roman" w:hAnsi="Times New Roman"/>
        </w:rPr>
        <w:t>.</w:t>
      </w:r>
    </w:p>
    <w:p w:rsidR="00C61DE5" w:rsidRDefault="00C61DE5" w:rsidP="00AB6888">
      <w:pPr>
        <w:pStyle w:val="ColorfulList-Accent11"/>
        <w:jc w:val="both"/>
        <w:rPr>
          <w:rFonts w:ascii="Times New Roman" w:hAnsi="Times New Roman"/>
        </w:rPr>
      </w:pPr>
    </w:p>
    <w:p w:rsidR="00C61DE5" w:rsidRDefault="00C61DE5" w:rsidP="00AB6888">
      <w:pPr>
        <w:pStyle w:val="ColorfulList-Accent11"/>
        <w:numPr>
          <w:ilvl w:val="0"/>
          <w:numId w:val="1"/>
        </w:numPr>
        <w:spacing w:after="0" w:line="240" w:lineRule="auto"/>
        <w:jc w:val="both"/>
        <w:rPr>
          <w:rFonts w:ascii="Times New Roman" w:hAnsi="Times New Roman"/>
        </w:rPr>
      </w:pPr>
      <w:r w:rsidRPr="00A63500">
        <w:rPr>
          <w:rFonts w:ascii="Times New Roman" w:hAnsi="Times New Roman"/>
        </w:rPr>
        <w:t xml:space="preserve">At the request of </w:t>
      </w:r>
      <w:r>
        <w:rPr>
          <w:rFonts w:ascii="Times New Roman" w:hAnsi="Times New Roman"/>
        </w:rPr>
        <w:t>participating NRAs through the L</w:t>
      </w:r>
      <w:r w:rsidRPr="00A63500">
        <w:rPr>
          <w:rFonts w:ascii="Times New Roman" w:hAnsi="Times New Roman"/>
        </w:rPr>
        <w:t xml:space="preserve">ead NRA, WHO will facilitate the participation of one or more senior assessors from a reference NRA or WHO-PQP in </w:t>
      </w:r>
      <w:r>
        <w:rPr>
          <w:rFonts w:ascii="Times New Roman" w:hAnsi="Times New Roman"/>
        </w:rPr>
        <w:t>a</w:t>
      </w:r>
      <w:r w:rsidR="006B62D8">
        <w:rPr>
          <w:rFonts w:ascii="Times New Roman" w:hAnsi="Times New Roman"/>
        </w:rPr>
        <w:t xml:space="preserve"> </w:t>
      </w:r>
      <w:r w:rsidRPr="00A63500">
        <w:rPr>
          <w:rFonts w:ascii="Times New Roman" w:hAnsi="Times New Roman"/>
        </w:rPr>
        <w:t>JA</w:t>
      </w:r>
      <w:r w:rsidR="006B62D8">
        <w:rPr>
          <w:rFonts w:ascii="Times New Roman" w:hAnsi="Times New Roman"/>
        </w:rPr>
        <w:t xml:space="preserve"> </w:t>
      </w:r>
      <w:r w:rsidRPr="00A63500">
        <w:rPr>
          <w:rFonts w:ascii="Times New Roman" w:hAnsi="Times New Roman"/>
        </w:rPr>
        <w:t>session.</w:t>
      </w:r>
    </w:p>
    <w:p w:rsidR="00C61DE5" w:rsidRDefault="00C61DE5" w:rsidP="00AB6888">
      <w:pPr>
        <w:pStyle w:val="ColorfulList-Accent11"/>
        <w:jc w:val="both"/>
        <w:rPr>
          <w:rFonts w:ascii="Times New Roman" w:hAnsi="Times New Roman"/>
        </w:rPr>
      </w:pPr>
    </w:p>
    <w:p w:rsidR="00C61DE5" w:rsidRDefault="00C61DE5" w:rsidP="00AB6888">
      <w:pPr>
        <w:pStyle w:val="ColorfulList-Accent11"/>
        <w:numPr>
          <w:ilvl w:val="0"/>
          <w:numId w:val="1"/>
        </w:numPr>
        <w:spacing w:after="0" w:line="240" w:lineRule="auto"/>
        <w:jc w:val="both"/>
        <w:rPr>
          <w:rFonts w:ascii="Times New Roman" w:hAnsi="Times New Roman"/>
        </w:rPr>
      </w:pPr>
      <w:r w:rsidRPr="00A63500">
        <w:rPr>
          <w:rFonts w:ascii="Times New Roman" w:hAnsi="Times New Roman"/>
        </w:rPr>
        <w:t xml:space="preserve">A JA session is a technical meeting attended </w:t>
      </w:r>
      <w:r w:rsidRPr="00155A21">
        <w:rPr>
          <w:rFonts w:ascii="Times New Roman" w:hAnsi="Times New Roman"/>
        </w:rPr>
        <w:t>by two designated assessors (</w:t>
      </w:r>
      <w:r>
        <w:rPr>
          <w:rFonts w:ascii="Times New Roman" w:hAnsi="Times New Roman"/>
        </w:rPr>
        <w:t>or more if funds permit)</w:t>
      </w:r>
      <w:r w:rsidRPr="00A63500">
        <w:rPr>
          <w:rFonts w:ascii="Times New Roman" w:hAnsi="Times New Roman"/>
        </w:rPr>
        <w:t xml:space="preserve"> from each participating NRA. The session is assisted, when requested, by senior assessors provided by reference NRA and/or WHO. Purpose of the JA session is to review and discuss all aspects of the application, clarify technical issues, address diverging opinions, and prepare a joint assessment report. A JA session is expected to last up to four working days. At the end of the JA session, participants take the joint assessment report to their own NRA for inclusion in the national decision-making process.</w:t>
      </w:r>
    </w:p>
    <w:p w:rsidR="000368E1" w:rsidRPr="000368E1" w:rsidRDefault="000368E1" w:rsidP="00AB6888">
      <w:pPr>
        <w:pStyle w:val="ListParagraph"/>
        <w:jc w:val="both"/>
        <w:rPr>
          <w:rFonts w:ascii="Times New Roman" w:hAnsi="Times New Roman" w:cs="Times New Roman"/>
        </w:rPr>
      </w:pPr>
    </w:p>
    <w:p w:rsidR="000368E1" w:rsidRPr="000368E1" w:rsidRDefault="000368E1" w:rsidP="00AB6888">
      <w:pPr>
        <w:pStyle w:val="ListParagraph"/>
        <w:numPr>
          <w:ilvl w:val="0"/>
          <w:numId w:val="1"/>
        </w:numPr>
        <w:spacing w:after="0" w:line="240" w:lineRule="auto"/>
        <w:jc w:val="both"/>
        <w:rPr>
          <w:rFonts w:ascii="Times New Roman" w:hAnsi="Times New Roman" w:cs="Times New Roman"/>
        </w:rPr>
      </w:pPr>
      <w:r w:rsidRPr="000368E1">
        <w:rPr>
          <w:rFonts w:ascii="Times New Roman" w:hAnsi="Times New Roman" w:cs="Times New Roman"/>
        </w:rPr>
        <w:t>JA reports are confidential documents belonging to the participating NRAs. After receiving a JA report, each participating NRA is expected to take a decision on the application at their earliest decision-making meeting.</w:t>
      </w:r>
    </w:p>
    <w:p w:rsidR="000368E1" w:rsidRPr="00A63500" w:rsidRDefault="000368E1" w:rsidP="00AB6888">
      <w:pPr>
        <w:spacing w:after="0" w:line="240" w:lineRule="auto"/>
        <w:ind w:left="360"/>
        <w:jc w:val="both"/>
        <w:rPr>
          <w:rFonts w:ascii="Times New Roman" w:hAnsi="Times New Roman" w:cs="Times New Roman"/>
        </w:rPr>
      </w:pPr>
    </w:p>
    <w:p w:rsidR="000368E1" w:rsidRPr="00A63500" w:rsidRDefault="000368E1" w:rsidP="00AB6888">
      <w:pPr>
        <w:spacing w:after="0" w:line="240" w:lineRule="auto"/>
        <w:jc w:val="both"/>
        <w:rPr>
          <w:rFonts w:ascii="Times New Roman" w:hAnsi="Times New Roman" w:cs="Times New Roman"/>
        </w:rPr>
      </w:pPr>
      <w:r w:rsidRPr="00A63500">
        <w:rPr>
          <w:rFonts w:ascii="Times New Roman" w:hAnsi="Times New Roman" w:cs="Times New Roman"/>
          <w:b/>
        </w:rPr>
        <w:t>Sharing of JA documentation among AMS</w:t>
      </w:r>
    </w:p>
    <w:p w:rsidR="000368E1" w:rsidRPr="00A63500" w:rsidRDefault="000368E1" w:rsidP="00AB6888">
      <w:pPr>
        <w:spacing w:after="0" w:line="240" w:lineRule="auto"/>
        <w:jc w:val="both"/>
        <w:rPr>
          <w:rFonts w:ascii="Times New Roman" w:hAnsi="Times New Roman" w:cs="Times New Roman"/>
        </w:rPr>
      </w:pPr>
    </w:p>
    <w:p w:rsidR="00C40932" w:rsidRDefault="000368E1" w:rsidP="00AB6888">
      <w:pPr>
        <w:spacing w:after="0" w:line="240" w:lineRule="auto"/>
        <w:jc w:val="both"/>
        <w:rPr>
          <w:rFonts w:ascii="Times New Roman" w:hAnsi="Times New Roman" w:cs="Times New Roman"/>
        </w:rPr>
      </w:pPr>
      <w:r w:rsidRPr="00A63500">
        <w:rPr>
          <w:rFonts w:ascii="Times New Roman" w:hAnsi="Times New Roman" w:cs="Times New Roman"/>
        </w:rPr>
        <w:t xml:space="preserve">An </w:t>
      </w:r>
      <w:r>
        <w:rPr>
          <w:rFonts w:ascii="Times New Roman" w:hAnsi="Times New Roman" w:cs="Times New Roman"/>
        </w:rPr>
        <w:t xml:space="preserve">ASEAN NRA </w:t>
      </w:r>
      <w:r w:rsidRPr="00A63500">
        <w:rPr>
          <w:rFonts w:ascii="Times New Roman" w:hAnsi="Times New Roman" w:cs="Times New Roman"/>
        </w:rPr>
        <w:t xml:space="preserve">who has not participated in </w:t>
      </w:r>
      <w:r>
        <w:rPr>
          <w:rFonts w:ascii="Times New Roman" w:hAnsi="Times New Roman" w:cs="Times New Roman"/>
        </w:rPr>
        <w:t xml:space="preserve">a </w:t>
      </w:r>
      <w:r w:rsidRPr="00A63500">
        <w:rPr>
          <w:rFonts w:ascii="Times New Roman" w:hAnsi="Times New Roman" w:cs="Times New Roman"/>
        </w:rPr>
        <w:t>JA</w:t>
      </w:r>
      <w:r w:rsidR="006B62D8">
        <w:rPr>
          <w:rFonts w:ascii="Times New Roman" w:hAnsi="Times New Roman" w:cs="Times New Roman"/>
        </w:rPr>
        <w:t xml:space="preserve"> </w:t>
      </w:r>
      <w:r>
        <w:rPr>
          <w:rFonts w:ascii="Times New Roman" w:hAnsi="Times New Roman" w:cs="Times New Roman"/>
        </w:rPr>
        <w:t xml:space="preserve">procedure </w:t>
      </w:r>
      <w:r w:rsidRPr="00A63500">
        <w:rPr>
          <w:rFonts w:ascii="Times New Roman" w:hAnsi="Times New Roman" w:cs="Times New Roman"/>
        </w:rPr>
        <w:t xml:space="preserve">may receive an application for a product that has gone through </w:t>
      </w:r>
      <w:r>
        <w:rPr>
          <w:rFonts w:ascii="Times New Roman" w:hAnsi="Times New Roman" w:cs="Times New Roman"/>
        </w:rPr>
        <w:t xml:space="preserve">a </w:t>
      </w:r>
      <w:r w:rsidRPr="00A63500">
        <w:rPr>
          <w:rFonts w:ascii="Times New Roman" w:hAnsi="Times New Roman" w:cs="Times New Roman"/>
        </w:rPr>
        <w:t>JA</w:t>
      </w:r>
      <w:r>
        <w:rPr>
          <w:rFonts w:ascii="Times New Roman" w:hAnsi="Times New Roman" w:cs="Times New Roman"/>
        </w:rPr>
        <w:t xml:space="preserve"> procedure after this has been finalized</w:t>
      </w:r>
      <w:r w:rsidRPr="00A63500">
        <w:rPr>
          <w:rFonts w:ascii="Times New Roman" w:hAnsi="Times New Roman" w:cs="Times New Roman"/>
        </w:rPr>
        <w:t xml:space="preserve">. This </w:t>
      </w:r>
      <w:r>
        <w:rPr>
          <w:rFonts w:ascii="Times New Roman" w:hAnsi="Times New Roman" w:cs="Times New Roman"/>
        </w:rPr>
        <w:t xml:space="preserve">NRA </w:t>
      </w:r>
      <w:r w:rsidRPr="00A63500">
        <w:rPr>
          <w:rFonts w:ascii="Times New Roman" w:hAnsi="Times New Roman" w:cs="Times New Roman"/>
        </w:rPr>
        <w:t xml:space="preserve">may request another </w:t>
      </w:r>
      <w:r>
        <w:rPr>
          <w:rFonts w:ascii="Times New Roman" w:hAnsi="Times New Roman" w:cs="Times New Roman"/>
        </w:rPr>
        <w:t xml:space="preserve">ASEAN NRA </w:t>
      </w:r>
      <w:r w:rsidRPr="00A63500">
        <w:rPr>
          <w:rFonts w:ascii="Times New Roman" w:hAnsi="Times New Roman" w:cs="Times New Roman"/>
        </w:rPr>
        <w:t xml:space="preserve">or the ASEAN Secretariat to share the </w:t>
      </w:r>
      <w:r>
        <w:rPr>
          <w:rFonts w:ascii="Times New Roman" w:hAnsi="Times New Roman" w:cs="Times New Roman"/>
        </w:rPr>
        <w:t xml:space="preserve">relevant joint </w:t>
      </w:r>
      <w:r w:rsidRPr="00A63500">
        <w:rPr>
          <w:rFonts w:ascii="Times New Roman" w:hAnsi="Times New Roman" w:cs="Times New Roman"/>
        </w:rPr>
        <w:t xml:space="preserve">assessment report and may decide to rely on such report for its own national decision, if applicable legislation permits. </w:t>
      </w:r>
      <w:r w:rsidR="008E1EAA">
        <w:rPr>
          <w:rFonts w:ascii="Times New Roman" w:hAnsi="Times New Roman" w:cs="Times New Roman"/>
        </w:rPr>
        <w:t xml:space="preserve">When such situations arise, concerned applicants will be asked to sign a consent letter to permit such sharing of information.  </w:t>
      </w:r>
    </w:p>
    <w:p w:rsidR="000407DA" w:rsidRDefault="000407DA" w:rsidP="00AB6888">
      <w:pPr>
        <w:spacing w:after="0" w:line="240" w:lineRule="auto"/>
        <w:jc w:val="both"/>
        <w:rPr>
          <w:rFonts w:ascii="Times New Roman" w:hAnsi="Times New Roman" w:cs="Times New Roman"/>
        </w:rPr>
      </w:pPr>
    </w:p>
    <w:p w:rsidR="008E1EAA" w:rsidRDefault="000407DA" w:rsidP="00AB6888">
      <w:pPr>
        <w:jc w:val="both"/>
        <w:rPr>
          <w:rFonts w:ascii="Times New Roman" w:hAnsi="Times New Roman" w:cs="Times New Roman"/>
          <w:b/>
          <w:bCs/>
          <w:color w:val="000000"/>
          <w:sz w:val="32"/>
          <w:szCs w:val="40"/>
          <w:lang w:val="en-US"/>
        </w:rPr>
      </w:pPr>
      <w:r>
        <w:rPr>
          <w:rFonts w:ascii="Times New Roman" w:hAnsi="Times New Roman" w:cs="Times New Roman"/>
        </w:rPr>
        <w:lastRenderedPageBreak/>
        <w:br w:type="page"/>
      </w:r>
      <w:r w:rsidR="00182EBB" w:rsidRPr="00182EBB">
        <w:rPr>
          <w:rFonts w:ascii="Times New Roman" w:hAnsi="Times New Roman" w:cs="Times New Roman"/>
          <w:noProof/>
          <w:lang w:eastAsia="en-GB"/>
        </w:rPr>
        <w:pict>
          <v:shapetype id="_x0000_t202" coordsize="21600,21600" o:spt="202" path="m,l,21600r21600,l21600,xe">
            <v:stroke joinstyle="miter"/>
            <v:path gradientshapeok="t" o:connecttype="rect"/>
          </v:shapetype>
          <v:shape id="Text Box 64" o:spid="_x0000_s1026" type="#_x0000_t202" style="position:absolute;left:0;text-align:left;margin-left:149.25pt;margin-top:18pt;width:152.1pt;height:29.1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WJsgIAALkFAAAOAAAAZHJzL2Uyb0RvYy54bWysVNtunDAQfa/Uf7D8TrjEyy4obJQsS1Up&#10;vUhJP8ALZrEKNrKdhbTKv3ds9pZElaq2PCDbMz4zZ+Z4rq7HrkU7pjSXIsPhRYARE6WsuNhm+NtD&#10;4S0w0oaKirZSsAw/MY2vl+/fXQ19yiLZyLZiCgGI0OnQZ7gxpk99X5cN66i+kD0TYKyl6qiBrdr6&#10;laIDoHetHwVB7A9SVb2SJdMaTvPJiJcOv65Zab7UtWYGtRmG3Iz7K/ff2L+/vKLpVtG+4eU+DfoX&#10;WXSUCwh6hMqpoehR8TdQHS+V1LI2F6XsfFnXvGSOA7AJg1ds7hvaM8cFiqP7Y5n0/4MtP+++KsSr&#10;DMcEI0E76NEDGw26lSOCI6jP0OsU3O57cDQjnEOfHVfd38nyu0ZCrhoqtuxGKTk0jFaQX2hv+mdX&#10;JxxtQTbDJ1lBHPpopAMaa9XZ4kE5EKBDn56OvbG5lDZkchnGczCVYLucB1EwcyFoerjdK20+MNkh&#10;u8iwgt47dLq708ZmQ9ODiw0mZMHb1vW/FS8OwHE6gdhw1dpsFq6dP5MgWS/WC+KRKF57JMhz76ZY&#10;ES8uwvksv8xXqzx8tnFDkja8qpiwYQ7SCsmftW4v8kkUR3Fp2fLKwtmUtNpuVq1COwrSLty3L8iZ&#10;m/8yDVcE4PKKUhiR4DZKvCJezD1SkJmXzIOFF4TJbRIHJCF58ZLSHRfs3ymhIcPJLJpNYvott8B9&#10;b7nRtOMGhkfLuwwvjk40tRJci8q11lDeTuuzUtj0T6WAdh8a7QRrNTqp1YybEVCsijeyegLpKgnK&#10;AhHCxINFI9UPjAaYHhkWMN4waj8KEH8SEmKHjduQ2TyCjTq3bM4tVJQAlGGD0bRcmWlAPfaKbxuI&#10;c3huN/BgCu60fMpp/8xgPjhK+1lmB9D53nmdJu7yFwAAAP//AwBQSwMEFAAGAAgAAAAhAO18fQXd&#10;AAAACQEAAA8AAABkcnMvZG93bnJldi54bWxMj0FOwzAQRfdI3MEaJHbUadqGJGRSoQJroHAANzZx&#10;SDyOYrcNnJ5hBcvRPP3/frWd3SBOZgqdJ4TlIgFhqPG6oxbh/e3pJgcRoiKtBk8G4csE2NaXF5Uq&#10;tT/TqzntYys4hEKpEGyMYyllaKxxKiz8aIh/H35yKvI5tVJP6szhbpBpkmTSqY64warR7Kxp+v3R&#10;IeSJe+77In0Jbv293Njdg38cPxGvr+b7OxDRzPEPhl99VoeanQ7+SDqIASEt8g2jCKuMNzGQJekt&#10;iANCsV6BrCv5f0H9AwAA//8DAFBLAQItABQABgAIAAAAIQC2gziS/gAAAOEBAAATAAAAAAAAAAAA&#10;AAAAAAAAAABbQ29udGVudF9UeXBlc10ueG1sUEsBAi0AFAAGAAgAAAAhADj9If/WAAAAlAEAAAsA&#10;AAAAAAAAAAAAAAAALwEAAF9yZWxzLy5yZWxzUEsBAi0AFAAGAAgAAAAhAMrGZYmyAgAAuQUAAA4A&#10;AAAAAAAAAAAAAAAALgIAAGRycy9lMm9Eb2MueG1sUEsBAi0AFAAGAAgAAAAhAO18fQXdAAAACQEA&#10;AA8AAAAAAAAAAAAAAAAADAUAAGRycy9kb3ducmV2LnhtbFBLBQYAAAAABAAEAPMAAAAWBg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36"/>
                      <w:szCs w:val="36"/>
                      <w:lang w:val="en-US"/>
                    </w:rPr>
                    <w:t>Steps of JA process</w:t>
                  </w:r>
                </w:p>
              </w:txbxContent>
            </v:textbox>
          </v:shape>
        </w:pict>
      </w:r>
      <w:r w:rsidR="00182EBB" w:rsidRPr="00182EBB">
        <w:rPr>
          <w:rFonts w:ascii="Times New Roman" w:hAnsi="Times New Roman" w:cs="Times New Roman"/>
          <w:noProof/>
          <w:lang w:eastAsia="en-GB"/>
        </w:rPr>
        <w:pict>
          <v:group id="Group 33" o:spid="_x0000_s1027" style="position:absolute;left:0;text-align:left;margin-left:-31.95pt;margin-top:88.25pt;width:521.6pt;height:557.4pt;z-index:251658240" coordorigin="649,1867" coordsize="10432,1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s/qAwAAPB6AAAOAAAAZHJzL2Uyb0RvYy54bWzsXdtu28oVfS/QfyD0WMDHnCFnOBTiHCR2&#10;lB4gbQ8Qt++0RFtCJVGl6Ng5Rf+9a8+FIinTUpyYToIJEEMSh8O57svaaw9f/Xq/Wgaf8nK7KNZn&#10;I/ZLOAry9bSYLdY3Z6N/Xk5O1CjYVtl6li2LdX42+pxvR7++/vOfXt1txjkv5sVylpcBKllvx3eb&#10;s9G8qjbj09PtdJ6vsu0vxSZf4+J1Ua6yCl/Lm9NZmd2h9tXylIehPL0rytmmLKb5dotfL8zF0Wtd&#10;//V1Pq3+cX29zatgeTZC2yr9t9R/r+jv6etX2fimzDbzxdQ2I3tCK1bZYo2H1lVdZFUW3JaLvapW&#10;i2lZbIvr6pdpsTotrq8X01z3Ab1hYac378vidqP7cjO+u9nUw4Sh7YzTk6ud/v3T72WwmJ2NomgU&#10;rLMV5kg/NsB3DM7d5maMMu/LzcfN76XpIT5+KKb/3uLyafc6fb8xhYOru78VM9SX3VaFHpz763JF&#10;VaDbwb2eg8/1HOT3VTDFj1LyOOKYqimuJWGiUmVnaTrHVNJ9Mk5HAa4yJRMzgdP5O3s7C3G3uZkx&#10;Fiu6fpqNzZN1a23rqGtYctvdqG6/blQ/zrNNridrSyPmRjV2o3qJHr4t7gNhhlUXojENqnv8jN7o&#10;IdqaoQ3Wxfk8W9/kb8qyuJvn2QytY7oz1GzUb6aDvmypkkNjzXgkO4PmRpxHyo1YInTr6gHLxpty&#10;W73Pi1VAH85GJTaUbmf26cO2MmPritDMrovJYrnE79l4uW79gDrNL3gsbqVr1AC9R/6bhuk79U7F&#10;JzGX707i8OLi5M3kPD6RE5aIi+ji/PyC/Y+ey+LxfDGb5Wt6jNuvLD5u5qzkMDut3rHbYrmYUXXU&#10;pG15c3W+LINPGeTFRP+zK6hR7LTdDL3A0JdOlxiPw7c8PZlIlZzEk1icpEmoTkKWvk1lGKfxxaTd&#10;pQ+Ldf71XQruzkap4MKspt6+hfrfft+y8WpRQSIvF6uzkaoLZWNag+/WMz21VbZYms+NoaDm74YC&#10;0+0mGrvOLFKz5ar7q3stcPRypmtXxewzlnBZYIFh40Ob4MO8KP8YBXeQzGej7X9uszIfBcvf1tgG&#10;KYtjEuX6SywSEhZl88pV80q2nqKqs1E1CszH88qI/9tNubiZ40lu472BmJos9KLetUqLOC0nhhIY&#10;oiswtAyjFtldP5DAkNJI2VgwSevE7FcS0RFLIEtIPqdCy2YvL7y8eH55wWkV7namlxfGbMNWNGab&#10;MzBY7AZqUIEhotRYGIIb03EnMLgSzNpknLVNMm9hTCb7WrihVo1lYtSpE8LWaPIWhjUl+ywM68F4&#10;C8MYD84lSZzE+FiVGdlAgfYygvNivYZ9X5SBVvjW5DhfG79ver+2fl/tnGiX5/LzBj5eyzcxt9D9&#10;R/kmUZTCAYE5wSXs1papkaYwQsjSOGBnbG1P6i4Yo+4YL+VIgxmGZvrWya6GM5CN4aRbu/gBGzmo&#10;9PBk5MbBnD0brfIZDNkcYAl9Qme/W8eo9uV6pVG/kW9MeuodrQJ42UNZz4Cb2tow0ivHruXh/G0p&#10;gD3QmlYp12KoqQ1DQC20qKUy28bhE14ZemVowa4HRImWFTUA8sXudm0Vene7ic9BvxiB0asMm/73&#10;AMqQC+hnCAfGQqHnbCc5LCoam9/7vW6vDb89TPgjakOCydraEL9AjAyvDZMUOLhe1CrU+2m3qIEm&#10;AfLSaJL8lujzsXbdRLG3F/su2BcDoT8/vN1v7tWYbh3c8EqmoWRioB+dfViDWYNiNEylTrkIvrcP&#10;mdUvCJvpuFq/gvFhIESLet0iI9s8SIOI2BEio8YavMhoigwgIm2REaUvorpjERrVzUPRiQNxjduQ&#10;5vYSwweOhwsca+VENqyXGE2JUfN3XCAIZsdLGPtJogz0BUaTllk7Wx8SwwWCvI3hqSaDUU1qCMdL&#10;jKbEgGI/gH2xOoQGP+X5wS/pcAJEgjrYl48EvRxF7ofEvvZ4VHFtNwzqc9e8iJib3dRQhzUvwhOp&#10;vDYcTBvWjqTXhk1tWBOpJmWeU8ZBwGo400oMTRFukt9rUqYB1Y+iOzj6OgcLmAz0nTxgYQSLWWPh&#10;PDJUiAYGN701VGy6wxEbkHAws2zqm5kDDADjXa+WSGP4y2kglEjxP7gLEi4YM9FwussVhj1eFw6D&#10;ecDiREZA5HXDdsUAR9TFZKgicMb764QnUheOw1Qkor9i2CC7smBIC9VfL0R6XZYxCUTikRZjOuvC&#10;kkuWsP6KAYrWZe0A9LcYzk1dOAwkcaQDKQT49Z0xw1QeV5CA1yNLtqer83Aslno5ZHND0M/GIO7Y&#10;JYJPIEEje+RSaXr4pthSPsUlHg8Q59KREVCM1tiudNoqbbg6l9oyxBP3SqM3dLur3KBHly60s1/c&#10;UHVcccMhvHQAtC5unmI7QdhzN5unHAXI5rkyE7DJKuq7bgM+UhzIrf1gTliVWeB0fVV8yi8LXbIy&#10;mSUqRtxVD4djHO3KTG+vFtO3+R/NOxIW8pjwfULBwsTqcfRe15eAnI7/+ipnIg1tdN9clQkxqc3T&#10;zDahDlBnWw9qfzO3iiTmiWWYyBCyolUxE0IK241UxZ2rQoRhhK2kw3F6Ex392JNYSE2+p3tB21Kd&#10;5zLFXc1xqBjTUQ43GDLlqW2Um4P97qL3NH96GOqJ1EOyE361OUopJTS9OoRIs9jiZbUgOSQVTTDU&#10;5oGtYj8rfavVydZYfHFeC8a/J5ljEAtiWmF/P5q8sS4oeeP6xZM34GIc9KjreMfzedTB9XKx+Re2&#10;qBbENtsOgJsRU7FUVr1TAhYldFC6kLE6Qt06zLdL1XPJXTb/yzNLPLOEkkVJ9RyCjpru9vNDR7GK&#10;jU6LU9VBnaUzqmMkjhoN4Jf3YPmVtbbujZcfUi80ZcPSiCnB+NDyrjHl55PjZNJY6a046RaYXQ9I&#10;bwmbmaKwkfEnvfQeMn34R1zesNoPLu8aJHq+5f2gmVIvdLGXRibcQo+Fdiz8QvcL3R388fDpC5R2&#10;2GbRyGZAa7h0EKWA/Wvxjeg42SA70I9zCWOK5HecOEylxzzxtDtPu8vG3+j0BQ2GeBaNI8Pb5Eho&#10;Fisx6igA79JoNNL0tVEApQwwKuKoIxBYGNI1zasDcNnxWJ4WBUi5jFUKAFyKJGGJjTvs4P02rIwo&#10;AFD7A1EAoSQjZL+3zmYUQCjgpDoK8HDFrSiAEAas72lrMwqAE0owXITVP1xvKwgg4SI+MgatIICp&#10;rr9iHwQgbfZDBQHcctJBALtcaCvvAH4Ly4cq4fbwE4cY78o8hMZLwTmiAAbmx3FKkYY+drg3zqgh&#10;CIJUPIIPLrjmnoYwls2OMbvEbvj2g9rfbBAAcbjUNjRhcb1fzVUWURDAPHb/aoxm2ItmDx39VJzR&#10;BLqvgRKVEsqlbLuncgQfdF/TNER8yhg7tq9Kuq429ivM+Gbv8NVHAMyBeDhn6js52QqT4iMA7aMG&#10;ezyOPRauSWojQ8uSCAY6vylFgg+JHImYutmEDu7naYxWavuCG2+k35P2Lod3Ob6Zy1Eb0oOEDasD&#10;QcPt5vs48Q3Z3IfQOHOEhJUhzxRLeRCNixMLO4OqoGdvh1tICDYtRJyN1ANa+JChDxlSyBBHi3aw&#10;OMSjgYQNrxkVotykGdUeAS8K3aL2hFxPyB2MkGt4Uh6Lc7LAYXHYpm30HlS6l5AYQhNkyJZW8Jlb&#10;6H0k6JANbUsDiaJr3pb2h6E+/2Gou8Qsb0s3SPx0dpIRGTv4vkm4o4jfN4HvE2lYvcT/bUuENGZo&#10;hJYIwBE7EuFp6H0EMzx8hL6+h94f5vALgOwykv2U+CZ6H/EUp0H3M+Lb6H0kWdhfbxO9TyMRxay/&#10;3iZ6LwjDfCQ3oIXeM6WiOOqv2KP3Pxx67yn82u6wyL+n8DffbOAp/O4NFk/mWD7zaeo/DoVfQDd0&#10;qJ/1ocIB73KarTdyVN6fQHqQCYxF5oj2BpYGjoE2GZAk1LEYOgT8Jd6yoVn9LgOQwmX2HS1k2NR0&#10;RJcbc8S7QJ54tLHxdb7Pl7rUw/DkDUG9I498uLOLxWHSsTmz7QVwYJEgkks2A4gkHXtXUS4Ambvc&#10;vI2p3//1SLBHggkJppTHjojtHkDPh6If/7WbJeUCHpCbHagHjCiz0KUJqPqF7unHj9OPJbR6G8A0&#10;B74PHvLgio6ch4wGWmHojDvbg3N/HL1/+5t7Ad5wMQ/NQfUxj07Mg2DFA7oxaoZNn5MM0NWNiU7A&#10;ISNQhh0ygI2B8BBMRuMXeDaAz7DUr+R9mCeHPJxD6/zFSC91uI9BN3a8Hc96+WmOoYN7r1+rrEO2&#10;9hXQ9N7m5ncNAuxeVP36/wAAAP//AwBQSwMEFAAGAAgAAAAhAPRHEpXiAAAADAEAAA8AAABkcnMv&#10;ZG93bnJldi54bWxMj8FugkAQhu9N+g6badKbLkjEQlmMMW1Ppkm1ifG2wghEdpawK+Dbd3pqjzP/&#10;l3++ydaTacWAvWssKQjnAQikwpYNVQq+D++zFxDOayp1awkV3NHBOn98yHRa2pG+cNj7SnAJuVQr&#10;qL3vUildUaPRbm47JM4utjfa89hXsuz1yOWmlYsgiKXRDfGFWne4rbG47m9Gwceox00Uvg2762V7&#10;Px2Wn8ddiEo9P02bVxAeJ/8Hw68+q0POTmd7o9KJVsEsjhJGOVjFSxBMJKskAnHmzSIJI5B5Jv8/&#10;kf8AAAD//wMAUEsBAi0AFAAGAAgAAAAhALaDOJL+AAAA4QEAABMAAAAAAAAAAAAAAAAAAAAAAFtD&#10;b250ZW50X1R5cGVzXS54bWxQSwECLQAUAAYACAAAACEAOP0h/9YAAACUAQAACwAAAAAAAAAAAAAA&#10;AAAvAQAAX3JlbHMvLnJlbHNQSwECLQAUAAYACAAAACEA+L5rP6gMAADwegAADgAAAAAAAAAAAAAA&#10;AAAuAgAAZHJzL2Uyb0RvYy54bWxQSwECLQAUAAYACAAAACEA9EcSleIAAAAMAQAADwAAAAAAAAAA&#10;AAAAAAACDwAAZHJzL2Rvd25yZXYueG1sUEsFBgAAAAAEAAQA8wAAABEQAAAAAA==&#10;">
            <v:shape id="TextBox 5" o:spid="_x0000_s1028" type="#_x0000_t202" style="position:absolute;left:1236;top:1867;width:2382;height:1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JACG receives proposals for candidate products and publishes list based on discussion among NRAs</w:t>
                    </w:r>
                  </w:p>
                </w:txbxContent>
              </v:textbox>
            </v:shape>
            <v:shape id="TextBox 8" o:spid="_x0000_s1029" type="#_x0000_t202" style="position:absolute;left:1669;top:4516;width:3176;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Lead NRA requests applicant to submit required documentation to participating NRAs</w:t>
                    </w:r>
                  </w:p>
                </w:txbxContent>
              </v:textbox>
            </v:shape>
            <v:shape id="TextBox 14" o:spid="_x0000_s1030" type="#_x0000_t202" style="position:absolute;left:5396;top:5233;width:2851;height:1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NRAs review administrative part of dossier and confirm to Lead NRAS that is in order</w:t>
                    </w:r>
                  </w:p>
                </w:txbxContent>
              </v:textbox>
            </v:shape>
            <v:shapetype id="_x0000_t32" coordsize="21600,21600" o:spt="32" o:oned="t" path="m,l21600,21600e" filled="f">
              <v:path arrowok="t" fillok="f" o:connecttype="none"/>
              <o:lock v:ext="edit" shapetype="t"/>
            </v:shapetype>
            <v:shape id="Straight Arrow Connector 6" o:spid="_x0000_s1031" type="#_x0000_t32" style="position:absolute;left:3392;top:2625;width:99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x58cQAAADbAAAADwAAAGRycy9kb3ducmV2LnhtbESPQWsCMRSE74L/ITyhN01spdbtRrFd&#10;BKGnWun5sXlutrt5WTaprv/eFAoeh5n5hsk3g2vFmfpQe9YwnykQxKU3NVcajl+76QuIEJENtp5J&#10;w5UCbNbjUY6Z8Rf+pPMhViJBOGSowcbYZVKG0pLDMPMdcfJOvncYk+wraXq8JLhr5aNSz9JhzWnB&#10;Ykfvlsrm8Os07Ae1+P7Zlaqz1+VKNseiePsotH6YDNtXEJGGeA//t/dGw9MS/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rHnxxAAAANsAAAAPAAAAAAAAAAAA&#10;AAAAAKECAABkcnMvZG93bnJldi54bWxQSwUGAAAAAAQABAD5AAAAkgMAAAAA&#10;" strokecolor="#4579b8">
              <v:stroke endarrow="open"/>
            </v:shape>
            <v:shape id="TextBox 30" o:spid="_x0000_s1032" type="#_x0000_t202" style="position:absolute;left:6548;top:8923;width:2803;height:6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NRAs deem JA meeting unnecessary</w:t>
                    </w:r>
                  </w:p>
                </w:txbxContent>
              </v:textbox>
            </v:shape>
            <v:shape id="Straight Arrow Connector 8" o:spid="_x0000_s1033" type="#_x0000_t32" style="position:absolute;left:3257;top:11054;width:0;height:4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9IGMMAAADbAAAADwAAAGRycy9kb3ducmV2LnhtbESPQWsCMRSE70L/Q3iF3jTRFltXo9gu&#10;guBJKz0/Ns/N6uZl2aS6/nsjCB6HmfmGmS06V4sztaHyrGE4UCCIC28qLjXsf1f9LxAhIhusPZOG&#10;KwVYzF96M8yMv/CWzrtYigThkKEGG2OTSRkKSw7DwDfEyTv41mFMsi2lafGS4K6WI6XG0mHFacFi&#10;Qz+WitPu32lYd+rj77gqVGOvnxN52uf59ybX+u21W05BROriM/xor42G9wncv6Qf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SBjDAAAA2wAAAA8AAAAAAAAAAAAA&#10;AAAAoQIAAGRycy9kb3ducmV2LnhtbFBLBQYAAAAABAAEAPkAAACRAwAAAAA=&#10;" strokecolor="#4579b8">
              <v:stroke endarrow="open"/>
            </v:shape>
            <v:shape id="TextBox 40" o:spid="_x0000_s1034" type="#_x0000_t202" style="position:absolute;left:6794;top:11808;width:3175;height: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J0sMA&#10;AADbAAAADwAAAGRycy9kb3ducmV2LnhtbERPy2rCQBTdF/oPwy10VycpRW3MKCK06K4aKbq7Zm4e&#10;mLkTMtMk7dd3FoLLw3mnq9E0oqfO1ZYVxJMIBHFudc2lgmP28TIH4TyyxsYyKfglB6vl40OKibYD&#10;76k/+FKEEHYJKqi8bxMpXV6RQTexLXHgCtsZ9AF2pdQdDiHcNPI1iqbSYM2hocKWNhXl18OPUfB9&#10;lm53Gj/jr2k2m1+y/u+9OGVKPT+N6wUIT6O/i2/urVbwFtaH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tJ0sMAAADbAAAADwAAAAAAAAAAAAAAAACYAgAAZHJzL2Rv&#10;d25yZXYueG1sUEsFBgAAAAAEAAQA9QAAAIgDAAAAAA==&#10;" filled="f" strokecolor="#4f81bd">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Joint assessment report submitted to participating NRAs for final decision</w:t>
                    </w:r>
                  </w:p>
                </w:txbxContent>
              </v:textbox>
            </v:shape>
            <v:shape id="TextBox 42" o:spid="_x0000_s1035" type="#_x0000_t202" style="position:absolute;left:1897;top:11528;width:3110;height:1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Lead NRA organizes JA session to finalize joint assessment report discussing with other NRAs, WHO and reference NRA experts, as appropriate.</w:t>
                    </w:r>
                  </w:p>
                </w:txbxContent>
              </v:textbox>
            </v:shape>
            <v:shape id="TextBox 39" o:spid="_x0000_s1036" type="#_x0000_t202" style="position:absolute;left:4504;top:2056;width:2392;height:1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 xml:space="preserve">Applicants send to lead NRA Expression of Interest to submit mentioning product and reference NRA. </w:t>
                    </w:r>
                  </w:p>
                </w:txbxContent>
              </v:textbox>
            </v:shape>
            <v:shape id="TextBox 41" o:spid="_x0000_s1037" type="#_x0000_t202" style="position:absolute;left:7788;top:2019;width:2391;height:1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 xml:space="preserve">Lead NRA seeks concurrence of participating NRAs  for accepting Expression of Interest. </w:t>
                    </w:r>
                  </w:p>
                </w:txbxContent>
              </v:textbox>
            </v:shape>
            <v:shape id="Straight Arrow Connector 13" o:spid="_x0000_s1038" type="#_x0000_t32" style="position:absolute;left:6794;top:2624;width:99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iU+8MAAADbAAAADwAAAGRycy9kb3ducmV2LnhtbESPQWsCMRSE7wX/Q3hCbzWpLNauRlEX&#10;QfBUlZ4fm+dm6+Zl2aS6/nsjFHocZuYbZr7sXSOu1IXas4b3kQJBXHpTc6XhdNy+TUGEiGyw8Uwa&#10;7hRguRi8zDE3/sZfdD3ESiQIhxw12BjbXMpQWnIYRr4lTt7Zdw5jkl0lTYe3BHeNHCs1kQ5rTgsW&#10;W9pYKi+HX6dh16vs+2dbqtbePz7l5VQU632h9euwX81AROrjf/ivvTMasgyeX9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4lPvDAAAA2wAAAA8AAAAAAAAAAAAA&#10;AAAAoQIAAGRycy9kb3ducmV2LnhtbFBLBQYAAAAABAAEAPkAAACRAwAAAAA=&#10;" strokecolor="#4579b8">
              <v:stroke endarrow="open"/>
            </v:shape>
            <v:shape id="TextBox 47" o:spid="_x0000_s1039" type="#_x0000_t202" style="position:absolute;left:5396;top:4213;width:2851;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NRAs exchange letters with reference NRA and obtain assessment report</w:t>
                    </w:r>
                  </w:p>
                </w:txbxContent>
              </v:textbox>
            </v:shape>
            <v:shape id="Freeform 15" o:spid="_x0000_s1040" style="position:absolute;left:649;top:2604;width:10319;height:2325;visibility:visible;mso-wrap-style:square;v-text-anchor:middle" coordsize="7251130,147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v1sUA&#10;AADbAAAADwAAAGRycy9kb3ducmV2LnhtbESPQWvCQBSE74L/YXmF3nTTkqqNrqKFQC8ipr14e80+&#10;k2D2bZrdJqm/vlsQPA4z8w2z2gymFh21rrKs4GkagSDOra64UPD5kU4WIJxH1lhbJgW/5GCzHo9W&#10;mGjb85G6zBciQNglqKD0vkmkdHlJBt3UNsTBO9vWoA+yLaRusQ9wU8vnKJpJgxWHhRIbeispv2Q/&#10;RkHjDtdv+fVySl+HuO53O7nH+Vmpx4dhuwThafD38K39rhXEM/j/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u/WxQAAANsAAAAPAAAAAAAAAAAAAAAAAJgCAABkcnMv&#10;ZG93bnJldi54bWxQSwUGAAAAAAQABAD1AAAAigMAAAAA&#10;" path="m6484110,v618331,107950,1236662,215900,247650,409575c5742748,603250,1556510,984250,550035,1162050v-1006475,177800,-431800,246062,142875,314325e" filled="f" strokecolor="#243f60" strokeweight=".25pt">
              <v:stroke endarrow="open"/>
              <v:path arrowok="t" o:connecttype="custom" o:connectlocs="8339,0;8657,645;707,1830;891,2325" o:connectangles="0,0,0,0"/>
            </v:shape>
            <v:shape id="Straight Arrow Connector 16" o:spid="_x0000_s1041" type="#_x0000_t32" style="position:absolute;left:4871;top:4685;width:525;height:20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hUL8AAADbAAAADwAAAGRycy9kb3ducmV2LnhtbESPQYvCMBSE74L/ITzBm6aKrEs1igiC&#10;N2l174/k2ZY2L7WJWv+9ERY8DjPzDbPe9rYRD+p85VjBbJqAINbOVFwouJwPk18QPiAbbByTghd5&#10;2G6GgzWmxj05o0ceChEh7FNUUIbQplJ6XZJFP3UtcfSurrMYouwKaTp8Rrht5DxJfqTFiuNCiS3t&#10;S9J1frcK8uXxVONV383l71BnJvNU3LRS41G/W4EI1Idv+L99NAoWS/h8iT9Ab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94hUL8AAADbAAAADwAAAAAAAAAAAAAAAACh&#10;AgAAZHJzL2Rvd25yZXYueG1sUEsFBgAAAAAEAAQA+QAAAI0DAAAAAA==&#10;" strokecolor="#4579b8">
              <v:stroke endarrow="open"/>
            </v:shape>
            <v:shape id="Straight Arrow Connector 17" o:spid="_x0000_s1042" type="#_x0000_t32" style="position:absolute;left:4845;top:4989;width:619;height:4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e/r8AAADbAAAADwAAAGRycy9kb3ducmV2LnhtbERPy4rCMBTdC/MP4Q7MTpMR0bEaZbQI&#10;gisfzPrSXJtqc1OaqPXvJwvB5eG858vO1eJObag8a/geKBDEhTcVlxpOx03/B0SIyAZrz6ThSQGW&#10;i4/eHDPjH7yn+yGWIoVwyFCDjbHJpAyFJYdh4BvixJ196zAm2JbStPhI4a6WQ6XG0mHFqcFiQ2tL&#10;xfVwcxq2nRr9XTaFauxzMpXXU56vdrnWX5/d7wxEpC6+xS/31mgYpbHpS/oBcvE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jWe/r8AAADbAAAADwAAAAAAAAAAAAAAAACh&#10;AgAAZHJzL2Rvd25yZXYueG1sUEsFBgAAAAAEAAQA+QAAAI0DAAAAAA==&#10;" strokecolor="#4579b8">
              <v:stroke endarrow="open"/>
            </v:shape>
            <v:shape id="Straight Arrow Connector 18" o:spid="_x0000_s1043" type="#_x0000_t32" style="position:absolute;left:8247;top:4685;width:566;height:3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7ZcIAAADbAAAADwAAAGRycy9kb3ducmV2LnhtbESPQWsCMRSE7wX/Q3iCt5pYxOpqFO0i&#10;CD1VxfNj89ysbl6WTdT135tCocdhZr5hFqvO1eJObag8axgNFQjiwpuKSw3Hw/Z9CiJEZIO1Z9Lw&#10;pACrZe9tgZnxD/6h+z6WIkE4ZKjBxthkUobCksMw9A1x8s6+dRiTbEtpWnwkuKvlh1IT6bDitGCx&#10;oS9LxXV/cxp2nRqfLttCNfb5OZPXY55vvnOtB/1uPQcRqYv/4b/2zmgYz+D3S/o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7ZcIAAADbAAAADwAAAAAAAAAAAAAA&#10;AAChAgAAZHJzL2Rvd25yZXYueG1sUEsFBgAAAAAEAAQA+QAAAJADAAAAAA==&#10;" strokecolor="#4579b8">
              <v:stroke endarrow="open"/>
            </v:shape>
            <v:shape id="Straight Arrow Connector 19" o:spid="_x0000_s1044" type="#_x0000_t32" style="position:absolute;left:8247;top:5233;width:566;height:45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4v+b4AAADbAAAADwAAAGRycy9kb3ducmV2LnhtbERPyWrDMBC9F/IPYgK9NXIDbYNr2ZSA&#10;IbdiN7kP0njB1si15MT9++gQ6PHx9qxY7SiuNPvesYLXXQKCWDvTc6vg/FO+HED4gGxwdEwK/shD&#10;kW+eMkyNu3FF1zq0IoawT1FBF8KUSul1Rxb9zk3EkWvcbDFEOLfSzHiL4XaU+yR5lxZ7jg0dTnTs&#10;SA/1YhXUH6fvARu9mPOlHCpTeWp/tVLP2/XrE0SgNfyLH+6TUfAW18cv8QfI/A4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7i/5vgAAANsAAAAPAAAAAAAAAAAAAAAAAKEC&#10;AABkcnMvZG93bnJldi54bWxQSwUGAAAAAAQABAD5AAAAjAMAAAAA&#10;" strokecolor="#4579b8">
              <v:stroke endarrow="open"/>
            </v:shape>
            <v:shape id="TextBox 63" o:spid="_x0000_s1045" type="#_x0000_t202" style="position:absolute;left:8813;top:4778;width:2268;height: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7Y8EA&#10;AADbAAAADwAAAGRycy9kb3ducmV2LnhtbESPQWvCQBSE7wX/w/IK3uomgiKpq0it4MGLNr0/sq/Z&#10;0OzbkH018d+7gtDjMDPfMOvt6Ft1pT42gQ3kswwUcRVsw7WB8uvwtgIVBdliG5gM3CjCdjN5WWNh&#10;w8Bnul6kVgnCsUADTqQrtI6VI49xFjri5P2E3qMk2dfa9jgkuG/1PMuW2mPDacFhRx+Oqt/Lnzcg&#10;Ynf5rfz08fg9nvaDy6oFlsZMX8fdOyihUf7Dz/bRGljk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le2P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Assessment starts (</w:t>
                    </w:r>
                    <w:r w:rsidRPr="006D21B0">
                      <w:rPr>
                        <w:rFonts w:ascii="Calibri" w:hAnsi="Calibri"/>
                        <w:b/>
                        <w:bCs/>
                        <w:color w:val="000000"/>
                        <w:kern w:val="24"/>
                        <w:sz w:val="22"/>
                        <w:szCs w:val="22"/>
                      </w:rPr>
                      <w:t>T</w:t>
                    </w:r>
                    <w:r w:rsidRPr="006D21B0">
                      <w:rPr>
                        <w:rFonts w:ascii="Calibri" w:hAnsi="Calibri"/>
                        <w:b/>
                        <w:bCs/>
                        <w:color w:val="000000"/>
                        <w:kern w:val="24"/>
                        <w:position w:val="-6"/>
                        <w:sz w:val="22"/>
                        <w:szCs w:val="22"/>
                        <w:vertAlign w:val="subscript"/>
                      </w:rPr>
                      <w:t>0</w:t>
                    </w:r>
                    <w:r w:rsidRPr="006D21B0">
                      <w:rPr>
                        <w:rFonts w:ascii="Calibri" w:hAnsi="Calibri"/>
                        <w:color w:val="000000"/>
                        <w:kern w:val="24"/>
                        <w:sz w:val="22"/>
                        <w:szCs w:val="22"/>
                      </w:rPr>
                      <w:t>)</w:t>
                    </w:r>
                  </w:p>
                </w:txbxContent>
              </v:textbox>
            </v:shape>
            <v:shape id="Freeform 21" o:spid="_x0000_s1046" style="position:absolute;left:884;top:5438;width:10084;height:1725;visibility:visible;mso-wrap-style:square;v-text-anchor:middle" coordsize="6577174,109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qKcUA&#10;AADbAAAADwAAAGRycy9kb3ducmV2LnhtbESPT2vCQBTE74V+h+UVequbShWbZpVW1MZLS6Pg9ZF9&#10;+YPZtyG7mvTbu4LgcZiZ3zDJYjCNOFPnassKXkcRCOLc6ppLBfvd+mUGwnlkjY1lUvBPDhbzx4cE&#10;Y217/qNz5ksRIOxiVFB538ZSurwig25kW+LgFbYz6IPsSqk77APcNHIcRVNpsOawUGFLy4ryY3Yy&#10;CrLjT7FCnDXu9yvdHN7fvrd9elDq+Wn4/ADhafD38K2dagWTMVy/hB8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2opxQAAANsAAAAPAAAAAAAAAAAAAAAAAJgCAABkcnMv&#10;ZG93bnJldi54bWxQSwUGAAAAAAQABAD1AAAAigMAAAAA&#10;" path="m6087269,v434975,223837,869950,447675,-66675,581025c5083969,714375,1356519,714375,467519,800100v-889000,85725,-334963,190500,219075,295275e" filled="f" strokecolor="#243f60" strokeweight=".25pt">
              <v:stroke endarrow="open"/>
              <v:path arrowok="t" o:connecttype="custom" o:connectlocs="9086,0;8987,915;698,1260;1025,1725" o:connectangles="0,0,0,0"/>
            </v:shape>
            <v:shape id="TextBox 65" o:spid="_x0000_s1047" type="#_x0000_t202" style="position:absolute;left:1928;top:6705;width:2943;height:1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Lead NRA consolidates questions from participating NRAs and shares with applicant. Clock stop (</w:t>
                    </w:r>
                    <w:r w:rsidRPr="006D21B0">
                      <w:rPr>
                        <w:rFonts w:ascii="Calibri" w:hAnsi="Calibri"/>
                        <w:b/>
                        <w:bCs/>
                        <w:color w:val="000000"/>
                        <w:kern w:val="24"/>
                        <w:sz w:val="22"/>
                        <w:szCs w:val="22"/>
                      </w:rPr>
                      <w:t>T</w:t>
                    </w:r>
                    <w:r w:rsidRPr="006D21B0">
                      <w:rPr>
                        <w:rFonts w:ascii="Calibri" w:hAnsi="Calibri"/>
                        <w:b/>
                        <w:bCs/>
                        <w:color w:val="000000"/>
                        <w:kern w:val="24"/>
                        <w:position w:val="-6"/>
                        <w:sz w:val="22"/>
                        <w:szCs w:val="22"/>
                        <w:vertAlign w:val="subscript"/>
                      </w:rPr>
                      <w:t>1</w:t>
                    </w:r>
                    <w:r w:rsidRPr="006D21B0">
                      <w:rPr>
                        <w:rFonts w:ascii="Calibri" w:hAnsi="Calibri"/>
                        <w:color w:val="000000"/>
                        <w:kern w:val="24"/>
                        <w:sz w:val="22"/>
                        <w:szCs w:val="22"/>
                      </w:rPr>
                      <w:t>)</w:t>
                    </w:r>
                  </w:p>
                </w:txbxContent>
              </v:textbox>
            </v:shape>
            <v:shape id="Straight Arrow Connector 23" o:spid="_x0000_s1048" type="#_x0000_t32" style="position:absolute;left:4747;top:7311;width:66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p+sEAAADbAAAADwAAAGRycy9kb3ducmV2LnhtbESPT4vCMBTE78J+h/CEvWmq+GfpGmVZ&#10;ELxJa70/kmdb2rx0m6jdb28EweMwM79hNrvBtuJGva8dK5hNExDE2pmaSwXFaT/5AuEDssHWMSn4&#10;Jw+77cdog6lxd87olodSRAj7FBVUIXSplF5XZNFPXUccvYvrLYYo+1KaHu8Rbls5T5KVtFhzXKiw&#10;o9+KdJNfrYJ8fTg2eNFXU5z3TWYyT+WfVupzPPx8gwg0hHf41T4YBcsFPL/EHyC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1Sn6wQAAANsAAAAPAAAAAAAAAAAAAAAA&#10;AKECAABkcnMvZG93bnJldi54bWxQSwUGAAAAAAQABAD5AAAAjwMAAAAA&#10;" strokecolor="#4579b8">
              <v:stroke endarrow="open"/>
            </v:shape>
            <v:shape id="TextBox 71" o:spid="_x0000_s1049" type="#_x0000_t202" style="position:absolute;left:1806;top:8604;width:3065;height: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9YMEA&#10;AADbAAAADwAAAGRycy9kb3ducmV2LnhtbESPQWvCQBSE7wX/w/IK3upGISKpq0it4MGLNr0/sq/Z&#10;0OzbkH018d+7gtDjMDPfMOvt6Ft1pT42gQ3MZxko4irYhmsD5dfhbQUqCrLFNjAZuFGE7WbyssbC&#10;hoHPdL1IrRKEY4EGnEhXaB0rRx7jLHTEyfsJvUdJsq+17XFIcN/qRZYttceG04LDjj4cVb+XP29A&#10;xO7mt/LTx+P3eNoPLqtyLI2Zvo67d1BCo/yHn+2jNZD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efWD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Lead NRA prepares draft joint assessment report  and shares with participating NRAs</w:t>
                    </w:r>
                  </w:p>
                </w:txbxContent>
              </v:textbox>
            </v:shape>
            <v:shape id="TextBox 72" o:spid="_x0000_s1050" type="#_x0000_t202" style="position:absolute;left:5525;top:6819;width:3540;height:1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jF8EA&#10;AADbAAAADwAAAGRycy9kb3ducmV2LnhtbESPQWvCQBSE70L/w/IK3nRjQSnRVaRW8OBFG++P7DMb&#10;mn0bsk8T/71bKHgcZuYbZrUZfKPu1MU6sIHZNANFXAZbc2Wg+NlPPkFFQbbYBCYDD4qwWb+NVpjb&#10;0POJ7mepVIJwzNGAE2lzrWPpyGOchpY4edfQeZQku0rbDvsE943+yLKF9lhzWnDY0pej8vd88wZE&#10;7Hb2KL59PFyG4653WTnHwpjx+7BdghIa5BX+bx+sgfk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M4xfBAAAA2wAAAA8AAAAAAAAAAAAAAAAAmAIAAGRycy9kb3du&#10;cmV2LnhtbFBLBQYAAAAABAAEAPUAAACGAw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Lead NRA receives response from applicant and shares with participating NRAs. Clock restart (</w:t>
                    </w:r>
                    <w:r w:rsidRPr="006D21B0">
                      <w:rPr>
                        <w:rFonts w:ascii="Calibri" w:hAnsi="Calibri"/>
                        <w:b/>
                        <w:bCs/>
                        <w:color w:val="000000"/>
                        <w:kern w:val="24"/>
                        <w:sz w:val="22"/>
                        <w:szCs w:val="22"/>
                      </w:rPr>
                      <w:t>T</w:t>
                    </w:r>
                    <w:r w:rsidRPr="006D21B0">
                      <w:rPr>
                        <w:rFonts w:ascii="Calibri" w:hAnsi="Calibri"/>
                        <w:b/>
                        <w:bCs/>
                        <w:color w:val="000000"/>
                        <w:kern w:val="24"/>
                        <w:position w:val="-6"/>
                        <w:sz w:val="22"/>
                        <w:szCs w:val="22"/>
                        <w:vertAlign w:val="subscript"/>
                      </w:rPr>
                      <w:t>2</w:t>
                    </w:r>
                    <w:r w:rsidRPr="006D21B0">
                      <w:rPr>
                        <w:rFonts w:ascii="Calibri" w:hAnsi="Calibri"/>
                        <w:color w:val="000000"/>
                        <w:kern w:val="24"/>
                        <w:sz w:val="22"/>
                        <w:szCs w:val="22"/>
                      </w:rPr>
                      <w:t>)</w:t>
                    </w:r>
                  </w:p>
                </w:txbxContent>
              </v:textbox>
            </v:shape>
            <v:shape id="Freeform 26" o:spid="_x0000_s1051" style="position:absolute;left:762;top:7102;width:9417;height:1872;visibility:visible;mso-wrap-style:square;v-text-anchor:middle" coordsize="7251130,147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ckMMA&#10;AADbAAAADwAAAGRycy9kb3ducmV2LnhtbESPQYvCMBSE74L/ITxhb5qurOtajaKC4EVE3Yu3Z/Ns&#10;yzYvtYm2+uuNsOBxmJlvmMmsMYW4UeVyywo+exEI4sTqnFMFv4dV9weE88gaC8uk4E4OZtN2a4Kx&#10;tjXv6Lb3qQgQdjEqyLwvYyldkpFB17MlcfDOtjLog6xSqSusA9wUsh9F39JgzmEhw5KWGSV/+6tR&#10;ULrt4yJPg+Nq1HwV9WIhNzg8K/XRaeZjEJ4a/w7/t9dawWAIry/h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ckMMAAADbAAAADwAAAAAAAAAAAAAAAACYAgAAZHJzL2Rv&#10;d25yZXYueG1sUEsFBgAAAAAEAAQA9QAAAIgDAAAAAA==&#10;" path="m6484110,v618331,107950,1236662,215900,247650,409575c5742748,603250,1556510,984250,550035,1162050v-1006475,177800,-431800,246062,142875,314325e" filled="f" strokecolor="#243f60" strokeweight=".25pt">
              <v:stroke endarrow="open"/>
              <v:path arrowok="t" o:connecttype="custom" o:connectlocs="6945,0;7210,418;589,1186;742,1507" o:connectangles="0,0,0,0"/>
            </v:shape>
            <v:line id="Straight Connector 27" o:spid="_x0000_s1052" style="position:absolute;visibility:visible" from="5079,9314" to="5700,9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J0I74AAADbAAAADwAAAGRycy9kb3ducmV2LnhtbERPzYrCMBC+C75DGMGbpi4oS20qIi4I&#10;iqzVBxiasSk2k9LEWt/eHBb2+PH9Z5vBNqKnzteOFSzmCQji0umaKwW368/sG4QPyBobx6TgTR42&#10;+XiUYardiy/UF6ESMYR9igpMCG0qpS8NWfRz1xJH7u46iyHCrpK6w1cMt438SpKVtFhzbDDY0s5Q&#10;+SieVkF1cnRptTz2tv9troW5nf3+odR0MmzXIAIN4V/85z5oBcs4Nn6JP0Dm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gnQjvgAAANsAAAAPAAAAAAAAAAAAAAAAAKEC&#10;AABkcnMvZG93bnJldi54bWxQSwUGAAAAAAQABAD5AAAAjAMAAAAA&#10;" strokecolor="#4579b8"/>
            <v:shape id="Straight Arrow Connector 28" o:spid="_x0000_s1053" type="#_x0000_t32" style="position:absolute;left:5700;top:9262;width:848;height:2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SGZMEAAADbAAAADwAAAGRycy9kb3ducmV2LnhtbESPT4vCMBTE78J+h/CEvWmq4J/tGmVZ&#10;ELxJa70/kmdb2rx0m6jdb28EweMwM79hNrvBtuJGva8dK5hNExDE2pmaSwXFaT9Zg/AB2WDrmBT8&#10;k4fd9mO0wdS4O2d0y0MpIoR9igqqELpUSq8rsuinriOO3sX1FkOUfSlNj/cIt62cJ8lSWqw5LlTY&#10;0W9FusmvVkG+OhwbvOirKc77JjOZp/JPK/U5Hn6+QQQawjv8ah+MgsUXPL/EHyC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1IZkwQAAANsAAAAPAAAAAAAAAAAAAAAA&#10;AKECAABkcnMvZG93bnJldi54bWxQSwUGAAAAAAQABAD5AAAAjwMAAAAA&#10;" strokecolor="#4579b8">
              <v:stroke endarrow="open"/>
            </v:shape>
            <v:shape id="Straight Arrow Connector 29" o:spid="_x0000_s1054" type="#_x0000_t32" style="position:absolute;left:4747;top:9529;width:953;height:6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LlRLoAAADbAAAADwAAAGRycy9kb3ducmV2LnhtbERPvQrCMBDeBd8hnOCmqQ4q1SgiCG7S&#10;qvuRnG1pc6lN1Pr2ZhAcP77/za63jXhR5yvHCmbTBASxdqbiQsH1cpysQPiAbLBxTAo+5GG3HQ42&#10;mBr35oxeeShEDGGfooIyhDaV0uuSLPqpa4kjd3edxRBhV0jT4TuG20bOk2QhLVYcG0ps6VCSrvOn&#10;VZAvT+ca7/pprrdjnZnMU/HQSo1H/X4NIlAf/uKf+2QULOL6+CX+ALn9Ag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JuC5US6AAAA2wAAAA8AAAAAAAAAAAAAAAAAoQIAAGRy&#10;cy9kb3ducmV2LnhtbFBLBQYAAAAABAAEAPkAAACIAwAAAAA=&#10;" strokecolor="#4579b8">
              <v:stroke endarrow="open"/>
            </v:shape>
            <v:shape id="TextBox 81" o:spid="_x0000_s1055" type="#_x0000_t202" style="position:absolute;left:2803;top:10221;width:2203;height:6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3sIA&#10;AADbAAAADwAAAGRycy9kb3ducmV2LnhtbESPwWrDMBBE74X8g9hCb43sQkNwIpvQtJBDL02c+2Jt&#10;LVNrZaxt7Px9FQj0OMzMG2Zbzb5XFxpjF9hAvsxAETfBdtwaqE8fz2tQUZAt9oHJwJUiVOXiYYuF&#10;DRN/0eUorUoQjgUacCJDoXVsHHmMyzAQJ+87jB4lybHVdsQpwX2vX7JspT12nBYcDvTmqPk5/noD&#10;InaXX+t3Hw/n+XM/uax5xdqYp8d5twElNMt/+N4+WAOrHG5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bHewgAAANsAAAAPAAAAAAAAAAAAAAAAAJgCAABkcnMvZG93&#10;bnJldi54bWxQSwUGAAAAAAQABAD1AAAAhwMAAAAA&#10;" filled="f" stroked="f">
              <v:textbox style="mso-fit-shape-to-text:t">
                <w:txbxContent>
                  <w:p w:rsidR="006733B1" w:rsidRDefault="006733B1" w:rsidP="0032338B">
                    <w:pPr>
                      <w:pStyle w:val="NormalWeb"/>
                      <w:spacing w:before="0" w:beforeAutospacing="0" w:after="0" w:afterAutospacing="0"/>
                    </w:pPr>
                    <w:r w:rsidRPr="006D21B0">
                      <w:rPr>
                        <w:rFonts w:ascii="Calibri" w:hAnsi="Calibri"/>
                        <w:color w:val="000000"/>
                        <w:kern w:val="24"/>
                        <w:sz w:val="22"/>
                        <w:szCs w:val="22"/>
                      </w:rPr>
                      <w:t>NRAs deem JA meeting necessary</w:t>
                    </w:r>
                  </w:p>
                </w:txbxContent>
              </v:textbox>
            </v:shape>
            <v:shape id="Straight Arrow Connector 31" o:spid="_x0000_s1056" type="#_x0000_t32" style="position:absolute;left:7566;top:9601;width:0;height:209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zeqMEAAADbAAAADwAAAGRycy9kb3ducmV2LnhtbESPQWvCQBSE7wX/w/IEb3VjDrGkrlIE&#10;wZskpvfH7jMJyb6N2dWk/74rFHocZuYbZneYbS+eNPrWsYLNOgFBrJ1puVZQXU/vHyB8QDbYOyYF&#10;P+ThsF+87TA3buKCnmWoRYSwz1FBE8KQS+l1Qxb92g3E0bu50WKIcqylGXGKcNvLNEkyabHluNDg&#10;QMeGdFc+rIJye750eNMPU32fusIUnuq7Vmq1nL8+QQSaw3/4r302CrIUXl/i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HN6owQAAANsAAAAPAAAAAAAAAAAAAAAA&#10;AKECAABkcnMvZG93bnJldi54bWxQSwUGAAAAAAQABAD5AAAAjwMAAAAA&#10;" strokecolor="#4579b8">
              <v:stroke endarrow="open"/>
            </v:shape>
            <v:shape id="Straight Arrow Connector 23" o:spid="_x0000_s1057" type="#_x0000_t32" style="position:absolute;left:5525;top:12202;width:66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B7M78AAADbAAAADwAAAGRycy9kb3ducmV2LnhtbESPQYvCMBSE74L/ITzBm6Yq6FKNIoLg&#10;TVrd+yN5tqXNS22i1n9vhIU9DjPzDbPZ9bYRT+p85VjBbJqAINbOVFwouF6Okx8QPiAbbByTgjd5&#10;2G2Hgw2mxr04o2ceChEh7FNUUIbQplJ6XZJFP3UtcfRurrMYouwKaTp8Rbht5DxJltJixXGhxJYO&#10;Jek6f1gF+ep0rvGmH+b6e6wzk3kq7lqp8ajfr0EE6sN/+K99MgqWC/h+iT9Ab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1B7M78AAADbAAAADwAAAAAAAAAAAAAAAACh&#10;AgAAZHJzL2Rvd25yZXYueG1sUEsFBgAAAAAEAAQA+QAAAI0DAAAAAA==&#10;" strokecolor="#4579b8">
              <v:stroke endarrow="open"/>
            </v:shape>
          </v:group>
        </w:pict>
      </w:r>
      <w:bookmarkStart w:id="1" w:name="_Annex_1"/>
      <w:bookmarkEnd w:id="1"/>
    </w:p>
    <w:p w:rsidR="00A63500" w:rsidRPr="00A63500" w:rsidRDefault="00A63500" w:rsidP="00AB6888">
      <w:pPr>
        <w:pStyle w:val="Heading1"/>
        <w:spacing w:before="0" w:after="120"/>
        <w:ind w:left="425" w:hanging="425"/>
        <w:jc w:val="both"/>
        <w:rPr>
          <w:rFonts w:ascii="Times New Roman" w:hAnsi="Times New Roman" w:cs="Times New Roman"/>
          <w:szCs w:val="40"/>
        </w:rPr>
      </w:pPr>
      <w:r w:rsidRPr="00A63500">
        <w:rPr>
          <w:rFonts w:ascii="Times New Roman" w:hAnsi="Times New Roman" w:cs="Times New Roman"/>
          <w:szCs w:val="40"/>
        </w:rPr>
        <w:lastRenderedPageBreak/>
        <w:t>Annex 1</w:t>
      </w:r>
    </w:p>
    <w:p w:rsidR="00A63500" w:rsidRPr="00F002C9" w:rsidRDefault="00A63500" w:rsidP="00AB6888">
      <w:pPr>
        <w:autoSpaceDE w:val="0"/>
        <w:autoSpaceDN w:val="0"/>
        <w:adjustRightInd w:val="0"/>
        <w:spacing w:after="0" w:line="240" w:lineRule="auto"/>
        <w:jc w:val="both"/>
        <w:rPr>
          <w:rFonts w:ascii="Times New Roman" w:hAnsi="Times New Roman" w:cs="Times New Roman"/>
          <w:b/>
          <w:bCs/>
          <w:color w:val="000000"/>
          <w:sz w:val="32"/>
          <w:szCs w:val="32"/>
        </w:rPr>
      </w:pPr>
      <w:r w:rsidRPr="00F002C9">
        <w:rPr>
          <w:rFonts w:ascii="Times New Roman" w:hAnsi="Times New Roman" w:cs="Times New Roman"/>
          <w:b/>
          <w:bCs/>
          <w:color w:val="000000"/>
          <w:sz w:val="32"/>
          <w:szCs w:val="32"/>
        </w:rPr>
        <w:t>Expression of applicant’s interest for the submission of an application for the ASEAN Joint Assessment Procedure</w:t>
      </w:r>
    </w:p>
    <w:p w:rsidR="00A63500" w:rsidRPr="00F002C9" w:rsidRDefault="00A63500" w:rsidP="00AB6888">
      <w:pPr>
        <w:pStyle w:val="para"/>
        <w:spacing w:after="120" w:line="240" w:lineRule="auto"/>
        <w:rPr>
          <w:rFonts w:ascii="Times New Roman" w:hAnsi="Times New Roman" w:cs="Times New Roman"/>
        </w:rPr>
      </w:pPr>
    </w:p>
    <w:p w:rsidR="00A63500" w:rsidRPr="00F002C9" w:rsidRDefault="00A63500" w:rsidP="00AB6888">
      <w:pPr>
        <w:pStyle w:val="para"/>
        <w:spacing w:after="120" w:line="240" w:lineRule="auto"/>
        <w:rPr>
          <w:rFonts w:ascii="Times New Roman" w:hAnsi="Times New Roman" w:cs="Times New Roman"/>
        </w:rPr>
      </w:pPr>
      <w:r w:rsidRPr="00F002C9">
        <w:rPr>
          <w:rFonts w:ascii="Times New Roman" w:hAnsi="Times New Roman" w:cs="Times New Roman"/>
        </w:rPr>
        <w:t>The undersigned Applicant</w:t>
      </w:r>
      <w:r w:rsidR="006B62D8">
        <w:rPr>
          <w:rFonts w:ascii="Times New Roman" w:hAnsi="Times New Roman" w:cs="Times New Roman"/>
        </w:rPr>
        <w:t xml:space="preserve"> </w:t>
      </w:r>
      <w:r w:rsidRPr="00F002C9">
        <w:rPr>
          <w:rFonts w:ascii="Times New Roman" w:hAnsi="Times New Roman" w:cs="Times New Roman"/>
        </w:rPr>
        <w:t>expresses its interest to submit an application in the framework of the ASEAN Joint Assessment Procedure to all participating</w:t>
      </w:r>
      <w:r w:rsidRPr="00F002C9">
        <w:rPr>
          <w:rStyle w:val="FootnoteReference"/>
          <w:rFonts w:cs="Times New Roman"/>
        </w:rPr>
        <w:footnoteReference w:id="4"/>
      </w:r>
      <w:r w:rsidRPr="00F002C9">
        <w:rPr>
          <w:rFonts w:ascii="Times New Roman" w:hAnsi="Times New Roman" w:cs="Times New Roman"/>
        </w:rPr>
        <w:t xml:space="preserve"> ASEAN NRAs based on the following details: </w:t>
      </w:r>
    </w:p>
    <w:p w:rsidR="00A63500" w:rsidRPr="00F002C9" w:rsidRDefault="00A63500" w:rsidP="00AB6888">
      <w:pPr>
        <w:pStyle w:val="Heading3"/>
        <w:keepNext w:val="0"/>
        <w:spacing w:before="120"/>
        <w:jc w:val="both"/>
        <w:rPr>
          <w:rFonts w:ascii="Times New Roman" w:hAnsi="Times New Roman" w:cs="Times New Roman"/>
        </w:rPr>
      </w:pPr>
      <w:r w:rsidRPr="00F002C9">
        <w:rPr>
          <w:rFonts w:ascii="Times New Roman" w:hAnsi="Times New Roman" w:cs="Times New Roman"/>
        </w:rPr>
        <w:t xml:space="preserve">Applicant details: </w:t>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Name: </w:t>
      </w:r>
      <w:r w:rsidRPr="00F002C9">
        <w:rPr>
          <w:rFonts w:ascii="Times New Roman" w:hAnsi="Times New Roman" w:cs="Times New Roman"/>
        </w:rPr>
        <w:tab/>
        <w:t xml:space="preserve"> (“the Applicant”)</w:t>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Address: </w:t>
      </w:r>
      <w:r w:rsidRPr="00F002C9">
        <w:rPr>
          <w:rFonts w:ascii="Times New Roman" w:hAnsi="Times New Roman" w:cs="Times New Roman"/>
        </w:rPr>
        <w:tab/>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ab/>
      </w:r>
    </w:p>
    <w:p w:rsidR="00A63500" w:rsidRPr="00F002C9" w:rsidRDefault="006B62D8" w:rsidP="00AB6888">
      <w:pPr>
        <w:pStyle w:val="tbs"/>
        <w:ind w:left="284"/>
        <w:jc w:val="both"/>
        <w:rPr>
          <w:rFonts w:ascii="Times New Roman" w:hAnsi="Times New Roman" w:cs="Times New Roman"/>
        </w:rPr>
      </w:pPr>
      <w:r>
        <w:rPr>
          <w:rFonts w:ascii="Times New Roman" w:hAnsi="Times New Roman" w:cs="Times New Roman"/>
        </w:rPr>
        <w:t>E</w:t>
      </w:r>
      <w:r w:rsidR="00A63500" w:rsidRPr="00F002C9">
        <w:rPr>
          <w:rFonts w:ascii="Times New Roman" w:hAnsi="Times New Roman" w:cs="Times New Roman"/>
        </w:rPr>
        <w:t xml:space="preserve">-mail: </w:t>
      </w:r>
      <w:r w:rsidR="00A63500" w:rsidRPr="00F002C9">
        <w:rPr>
          <w:rFonts w:ascii="Times New Roman" w:hAnsi="Times New Roman" w:cs="Times New Roman"/>
        </w:rPr>
        <w:tab/>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Phone: </w:t>
      </w:r>
      <w:r w:rsidRPr="00F002C9">
        <w:rPr>
          <w:rFonts w:ascii="Times New Roman" w:hAnsi="Times New Roman" w:cs="Times New Roman"/>
        </w:rPr>
        <w:tab/>
      </w:r>
    </w:p>
    <w:p w:rsidR="00A63500" w:rsidRPr="00F002C9" w:rsidRDefault="00A63500" w:rsidP="00AB6888">
      <w:pPr>
        <w:pStyle w:val="Heading3"/>
        <w:keepNext w:val="0"/>
        <w:spacing w:before="120"/>
        <w:jc w:val="both"/>
        <w:rPr>
          <w:rFonts w:ascii="Times New Roman" w:hAnsi="Times New Roman" w:cs="Times New Roman"/>
        </w:rPr>
      </w:pPr>
      <w:r w:rsidRPr="00F002C9">
        <w:rPr>
          <w:rFonts w:ascii="Times New Roman" w:hAnsi="Times New Roman" w:cs="Times New Roman"/>
        </w:rPr>
        <w:t xml:space="preserve">Product details: </w:t>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INN(s):</w:t>
      </w:r>
      <w:r w:rsidRPr="00F002C9">
        <w:rPr>
          <w:rFonts w:ascii="Times New Roman" w:hAnsi="Times New Roman" w:cs="Times New Roman"/>
        </w:rPr>
        <w:tab/>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Dosage form and strength: </w:t>
      </w:r>
      <w:r w:rsidRPr="00F002C9">
        <w:rPr>
          <w:rFonts w:ascii="Times New Roman" w:hAnsi="Times New Roman" w:cs="Times New Roman"/>
        </w:rPr>
        <w:tab/>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Packaging: </w:t>
      </w:r>
      <w:r w:rsidRPr="00F002C9">
        <w:rPr>
          <w:rFonts w:ascii="Times New Roman" w:hAnsi="Times New Roman" w:cs="Times New Roman"/>
        </w:rPr>
        <w:tab/>
      </w:r>
    </w:p>
    <w:p w:rsidR="00A63500" w:rsidRPr="00F002C9" w:rsidRDefault="00A63500" w:rsidP="00AB6888">
      <w:pPr>
        <w:pStyle w:val="tbs"/>
        <w:ind w:left="567" w:hanging="283"/>
        <w:jc w:val="both"/>
        <w:rPr>
          <w:rFonts w:ascii="Times New Roman" w:hAnsi="Times New Roman" w:cs="Times New Roman"/>
        </w:rPr>
      </w:pPr>
      <w:r w:rsidRPr="00F002C9">
        <w:rPr>
          <w:rFonts w:ascii="Times New Roman" w:hAnsi="Times New Roman" w:cs="Times New Roman"/>
        </w:rPr>
        <w:t>Detailed</w:t>
      </w:r>
      <w:r w:rsidRPr="00F002C9">
        <w:rPr>
          <w:rStyle w:val="FootnoteReference"/>
          <w:rFonts w:cs="Times New Roman"/>
        </w:rPr>
        <w:footnoteReference w:id="5"/>
      </w:r>
      <w:r w:rsidRPr="00F002C9">
        <w:rPr>
          <w:rFonts w:ascii="Times New Roman" w:hAnsi="Times New Roman" w:cs="Times New Roman"/>
        </w:rPr>
        <w:t xml:space="preserve"> address of manufacturing site(s): </w:t>
      </w:r>
      <w:r w:rsidRPr="00F002C9">
        <w:rPr>
          <w:rFonts w:ascii="Times New Roman" w:hAnsi="Times New Roman" w:cs="Times New Roman"/>
        </w:rPr>
        <w:tab/>
      </w:r>
    </w:p>
    <w:p w:rsidR="00A63500" w:rsidRPr="00F002C9" w:rsidRDefault="00A63500" w:rsidP="00AB6888">
      <w:pPr>
        <w:pStyle w:val="tbs"/>
        <w:ind w:left="284"/>
        <w:jc w:val="both"/>
        <w:rPr>
          <w:rFonts w:ascii="Times New Roman" w:hAnsi="Times New Roman" w:cs="Times New Roman"/>
        </w:rPr>
      </w:pPr>
      <w:r w:rsidRPr="00F002C9">
        <w:rPr>
          <w:rFonts w:ascii="Times New Roman" w:hAnsi="Times New Roman" w:cs="Times New Roman"/>
        </w:rPr>
        <w:t xml:space="preserve">Brand name, if applicable: </w:t>
      </w:r>
      <w:r w:rsidRPr="00F002C9">
        <w:rPr>
          <w:rFonts w:ascii="Times New Roman" w:hAnsi="Times New Roman" w:cs="Times New Roman"/>
        </w:rPr>
        <w:tab/>
      </w:r>
    </w:p>
    <w:p w:rsidR="00A63500" w:rsidRPr="00F002C9" w:rsidRDefault="00A63500" w:rsidP="00AB6888">
      <w:pPr>
        <w:pStyle w:val="Heading3"/>
        <w:spacing w:line="240" w:lineRule="auto"/>
        <w:jc w:val="both"/>
        <w:rPr>
          <w:rFonts w:ascii="Times New Roman" w:hAnsi="Times New Roman" w:cs="Times New Roman"/>
        </w:rPr>
      </w:pPr>
      <w:r w:rsidRPr="00F002C9">
        <w:rPr>
          <w:rFonts w:ascii="Times New Roman" w:hAnsi="Times New Roman" w:cs="Times New Roman"/>
        </w:rPr>
        <w:t>Reference approval</w:t>
      </w:r>
      <w:r w:rsidRPr="00F002C9">
        <w:rPr>
          <w:rStyle w:val="FootnoteReference"/>
          <w:rFonts w:cs="Times New Roman"/>
        </w:rPr>
        <w:footnoteReference w:id="6"/>
      </w:r>
      <w:r w:rsidRPr="00F002C9">
        <w:rPr>
          <w:rFonts w:ascii="Times New Roman" w:hAnsi="Times New Roman" w:cs="Times New Roman"/>
        </w:rPr>
        <w:t xml:space="preserve"> details: </w:t>
      </w:r>
    </w:p>
    <w:p w:rsidR="00A63500" w:rsidRPr="00F002C9" w:rsidRDefault="004C17B0" w:rsidP="00AB6888">
      <w:pPr>
        <w:pStyle w:val="tbs"/>
        <w:spacing w:line="240" w:lineRule="auto"/>
        <w:ind w:left="284"/>
        <w:jc w:val="both"/>
        <w:rPr>
          <w:rFonts w:ascii="Times New Roman" w:hAnsi="Times New Roman" w:cs="Times New Roman"/>
        </w:rPr>
      </w:pPr>
      <w:r>
        <w:rPr>
          <w:rFonts w:ascii="Times New Roman" w:hAnsi="Times New Roman" w:cs="Times New Roman"/>
        </w:rPr>
        <w:t>Reference NRA</w:t>
      </w:r>
      <w:r w:rsidR="00A63500" w:rsidRPr="00F002C9">
        <w:rPr>
          <w:rFonts w:ascii="Times New Roman" w:hAnsi="Times New Roman" w:cs="Times New Roman"/>
        </w:rPr>
        <w:t xml:space="preserve">: </w:t>
      </w:r>
      <w:r w:rsidR="00A63500"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Marketing authorization number: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Date of approval (dd/mm/yyyy):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Date of latest revision</w:t>
      </w:r>
      <w:r w:rsidRPr="00F002C9">
        <w:rPr>
          <w:rStyle w:val="FootnoteReference"/>
          <w:rFonts w:cs="Times New Roman"/>
        </w:rPr>
        <w:footnoteReference w:id="7"/>
      </w:r>
      <w:r w:rsidRPr="00F002C9">
        <w:rPr>
          <w:rFonts w:ascii="Times New Roman" w:hAnsi="Times New Roman" w:cs="Times New Roman"/>
        </w:rPr>
        <w:t xml:space="preserve">, if applicable (dd/mm/yyyy):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Marketing authorization holder: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WHO prequalification reference number: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Date of prequalification (dd/mm/yyyy):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WHO prequalification holder: </w:t>
      </w:r>
      <w:r w:rsidRPr="00F002C9">
        <w:rPr>
          <w:rFonts w:ascii="Times New Roman" w:hAnsi="Times New Roman" w:cs="Times New Roman"/>
        </w:rPr>
        <w:tab/>
      </w:r>
    </w:p>
    <w:p w:rsidR="00A63500" w:rsidRPr="00F002C9" w:rsidRDefault="00A63500" w:rsidP="00AB6888">
      <w:pPr>
        <w:pStyle w:val="tbs"/>
        <w:spacing w:before="240"/>
        <w:jc w:val="both"/>
        <w:rPr>
          <w:rFonts w:ascii="Times New Roman" w:hAnsi="Times New Roman" w:cs="Times New Roman"/>
        </w:rPr>
      </w:pPr>
      <w:r w:rsidRPr="00F002C9">
        <w:rPr>
          <w:rFonts w:ascii="Times New Roman" w:hAnsi="Times New Roman" w:cs="Times New Roman"/>
        </w:rPr>
        <w:t>The Applicant confirms that the information and documentation provided in conjunction with the present Expression of Interest is true and correct, that the pharmaceutical product submitted for JA assessment is the same</w:t>
      </w:r>
      <w:r w:rsidRPr="00F002C9">
        <w:rPr>
          <w:rStyle w:val="FootnoteReference"/>
          <w:rFonts w:cs="Times New Roman"/>
          <w:szCs w:val="13"/>
        </w:rPr>
        <w:footnoteReference w:id="8"/>
      </w:r>
      <w:r w:rsidRPr="00F002C9">
        <w:rPr>
          <w:rFonts w:ascii="Times New Roman" w:hAnsi="Times New Roman" w:cs="Times New Roman"/>
        </w:rPr>
        <w:t>as the reference approval product and that the technical part of the information is the same</w:t>
      </w:r>
      <w:r w:rsidRPr="00F002C9">
        <w:rPr>
          <w:rStyle w:val="FootnoteReference"/>
          <w:rFonts w:cs="Times New Roman"/>
          <w:szCs w:val="13"/>
        </w:rPr>
        <w:footnoteReference w:id="9"/>
      </w:r>
      <w:r w:rsidRPr="00F002C9">
        <w:rPr>
          <w:rFonts w:ascii="Times New Roman" w:hAnsi="Times New Roman" w:cs="Times New Roman"/>
        </w:rPr>
        <w:t xml:space="preserve">as that submitted to reference approval NRA or WHO Prequalification Programme </w:t>
      </w:r>
      <w:r w:rsidRPr="00F002C9">
        <w:rPr>
          <w:rFonts w:ascii="Times New Roman" w:hAnsi="Times New Roman" w:cs="Times New Roman"/>
        </w:rPr>
        <w:lastRenderedPageBreak/>
        <w:t>(WHO/PQP). Non-essential differences</w:t>
      </w:r>
      <w:r w:rsidRPr="00F002C9">
        <w:rPr>
          <w:rStyle w:val="FootnoteReference"/>
          <w:rFonts w:cs="Times New Roman"/>
        </w:rPr>
        <w:footnoteReference w:id="10"/>
      </w:r>
      <w:r w:rsidRPr="00F002C9">
        <w:rPr>
          <w:rFonts w:ascii="Times New Roman" w:hAnsi="Times New Roman" w:cs="Times New Roman"/>
        </w:rPr>
        <w:t xml:space="preserve">from the information submitted to WHO/PQP, are the following: </w:t>
      </w: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ab/>
      </w:r>
    </w:p>
    <w:p w:rsidR="00A63500" w:rsidRPr="00F002C9" w:rsidRDefault="00A63500" w:rsidP="00AB6888">
      <w:pPr>
        <w:pStyle w:val="para"/>
        <w:spacing w:before="240"/>
        <w:rPr>
          <w:rFonts w:ascii="Times New Roman" w:hAnsi="Times New Roman" w:cs="Times New Roman"/>
        </w:rPr>
      </w:pPr>
      <w:r w:rsidRPr="00F002C9">
        <w:rPr>
          <w:rFonts w:ascii="Times New Roman" w:hAnsi="Times New Roman" w:cs="Times New Roman"/>
        </w:rPr>
        <w:t xml:space="preserve">The Applicant: </w:t>
      </w:r>
    </w:p>
    <w:p w:rsidR="00A63500" w:rsidRPr="00F002C9" w:rsidRDefault="00A63500" w:rsidP="00AB6888">
      <w:pPr>
        <w:pStyle w:val="blts"/>
        <w:ind w:left="567"/>
        <w:jc w:val="both"/>
        <w:rPr>
          <w:rFonts w:ascii="Times New Roman" w:hAnsi="Times New Roman" w:cs="Times New Roman"/>
        </w:rPr>
      </w:pPr>
      <w:r w:rsidRPr="00F002C9">
        <w:rPr>
          <w:rFonts w:ascii="Times New Roman" w:hAnsi="Times New Roman" w:cs="Times New Roman"/>
        </w:rPr>
        <w:t xml:space="preserve">1. </w:t>
      </w:r>
      <w:r w:rsidRPr="00F002C9">
        <w:rPr>
          <w:rFonts w:ascii="Times New Roman" w:hAnsi="Times New Roman" w:cs="Times New Roman"/>
        </w:rPr>
        <w:tab/>
        <w:t>undertakes to adhere to, and collaborate with the participating ASEAN NRAs, reference NRA/ WHO/PQP in line with the JA Procedure; and</w:t>
      </w:r>
    </w:p>
    <w:p w:rsidR="00A63500" w:rsidRPr="00F002C9" w:rsidRDefault="00A63500" w:rsidP="00AB6888">
      <w:pPr>
        <w:pStyle w:val="blts"/>
        <w:ind w:left="567"/>
        <w:jc w:val="both"/>
        <w:rPr>
          <w:rFonts w:ascii="Times New Roman" w:hAnsi="Times New Roman" w:cs="Times New Roman"/>
        </w:rPr>
      </w:pPr>
      <w:r w:rsidRPr="00F002C9">
        <w:rPr>
          <w:rFonts w:ascii="Times New Roman" w:hAnsi="Times New Roman" w:cs="Times New Roman"/>
        </w:rPr>
        <w:t xml:space="preserve">2. </w:t>
      </w:r>
      <w:r w:rsidRPr="00F002C9">
        <w:rPr>
          <w:rFonts w:ascii="Times New Roman" w:hAnsi="Times New Roman" w:cs="Times New Roman"/>
        </w:rPr>
        <w:tab/>
        <w:t>authorize</w:t>
      </w:r>
      <w:r>
        <w:rPr>
          <w:rFonts w:ascii="Times New Roman" w:hAnsi="Times New Roman" w:cs="Times New Roman"/>
        </w:rPr>
        <w:t>s</w:t>
      </w:r>
      <w:r w:rsidRPr="00F002C9">
        <w:rPr>
          <w:rFonts w:ascii="Times New Roman" w:hAnsi="Times New Roman" w:cs="Times New Roman"/>
        </w:rPr>
        <w:t xml:space="preserve"> the reference NRA/WHO/PQP</w:t>
      </w:r>
      <w:r w:rsidRPr="00F002C9">
        <w:rPr>
          <w:rStyle w:val="FootnoteReference"/>
          <w:rFonts w:cs="Times New Roman"/>
        </w:rPr>
        <w:footnoteReference w:id="11"/>
      </w:r>
      <w:r w:rsidRPr="00F002C9">
        <w:rPr>
          <w:rFonts w:ascii="Times New Roman" w:hAnsi="Times New Roman" w:cs="Times New Roman"/>
        </w:rPr>
        <w:t xml:space="preserve">to provide participating ASEAN NRAs confidential access to the following information and documentation and to freely discuss the same with participating ASEAN NRAs: a) the full assessment and inspection outcomes (reports); b) information and documentation on subsequent variations as well as information and documentation on any actions taken by the reference NRA/WHO/PQP after approval of the Product. </w:t>
      </w:r>
      <w:r>
        <w:rPr>
          <w:rFonts w:ascii="Times New Roman" w:hAnsi="Times New Roman" w:cs="Times New Roman"/>
        </w:rPr>
        <w:t>To this end, the Applicant submits copy of the consent letter sent to the reference NRA or WHO/PQP.</w:t>
      </w:r>
    </w:p>
    <w:p w:rsidR="00A63500" w:rsidRPr="00F002C9" w:rsidRDefault="00A63500" w:rsidP="00AB6888">
      <w:pPr>
        <w:pStyle w:val="para"/>
        <w:ind w:left="567"/>
        <w:rPr>
          <w:rFonts w:ascii="Times New Roman" w:hAnsi="Times New Roman" w:cs="Times New Roman"/>
        </w:rPr>
      </w:pPr>
      <w:r w:rsidRPr="00F002C9">
        <w:rPr>
          <w:rFonts w:ascii="Times New Roman" w:hAnsi="Times New Roman" w:cs="Times New Roman"/>
        </w:rPr>
        <w:t>As regards sharing the outcomes of assessments and inspections, only data owned by the applicant are shared. Sharing of any other data is subject to a separate additional agreement by the respective data owners.</w:t>
      </w:r>
    </w:p>
    <w:p w:rsidR="00A63500" w:rsidRPr="00F002C9" w:rsidRDefault="00A63500" w:rsidP="00AB6888">
      <w:pPr>
        <w:pStyle w:val="blts"/>
        <w:ind w:left="567"/>
        <w:jc w:val="both"/>
        <w:rPr>
          <w:rFonts w:ascii="Times New Roman" w:hAnsi="Times New Roman" w:cs="Times New Roman"/>
        </w:rPr>
      </w:pPr>
      <w:r w:rsidRPr="00F002C9">
        <w:rPr>
          <w:rFonts w:ascii="Times New Roman" w:hAnsi="Times New Roman" w:cs="Times New Roman"/>
        </w:rPr>
        <w:t xml:space="preserve">3. </w:t>
      </w:r>
      <w:r w:rsidRPr="00F002C9">
        <w:rPr>
          <w:rFonts w:ascii="Times New Roman" w:hAnsi="Times New Roman" w:cs="Times New Roman"/>
        </w:rPr>
        <w:tab/>
        <w:t>authorizes the participating ASEAN NRAs to freely share and discuss all registration and product related information provided by the Applicant with the reference NRA or WHO/PQP, subject to the obligations of confidentiality and restrictions on use as contained in the relevant agreements and undertakings.</w:t>
      </w:r>
    </w:p>
    <w:p w:rsidR="00A63500" w:rsidRPr="00F002C9" w:rsidRDefault="00182EBB" w:rsidP="00AB6888">
      <w:pPr>
        <w:pStyle w:val="subs"/>
        <w:rPr>
          <w:rFonts w:ascii="Times New Roman" w:hAnsi="Times New Roman" w:cs="Times New Roman"/>
        </w:rPr>
      </w:pPr>
      <w:sdt>
        <w:sdtPr>
          <w:rPr>
            <w:rFonts w:ascii="Times New Roman" w:hAnsi="Times New Roman" w:cs="Times New Roman"/>
            <w:b/>
            <w:sz w:val="32"/>
            <w:szCs w:val="32"/>
          </w:rPr>
          <w:id w:val="-689379586"/>
        </w:sdtPr>
        <w:sdtContent>
          <w:r w:rsidR="00A63500" w:rsidRPr="00F002C9">
            <w:rPr>
              <w:rFonts w:ascii="MS Mincho" w:eastAsia="MS Mincho" w:hAnsi="MS Mincho" w:cs="MS Mincho" w:hint="eastAsia"/>
              <w:b/>
              <w:sz w:val="32"/>
              <w:szCs w:val="32"/>
            </w:rPr>
            <w:t>☐</w:t>
          </w:r>
        </w:sdtContent>
      </w:sdt>
      <w:r w:rsidR="00A63500" w:rsidRPr="00F002C9">
        <w:rPr>
          <w:rFonts w:ascii="Times New Roman" w:hAnsi="Times New Roman" w:cs="Times New Roman"/>
        </w:rPr>
        <w:tab/>
        <w:t>The applicant is not the reference NRA marketing authorization or WHO prequalification holder. An authorization letter from relevant holder is attached.</w:t>
      </w:r>
    </w:p>
    <w:p w:rsidR="00A63500" w:rsidRPr="00F002C9" w:rsidRDefault="00A63500" w:rsidP="00AB6888">
      <w:pPr>
        <w:pStyle w:val="Heading3"/>
        <w:jc w:val="both"/>
        <w:rPr>
          <w:rFonts w:ascii="Times New Roman" w:hAnsi="Times New Roman" w:cs="Times New Roman"/>
        </w:rPr>
      </w:pPr>
      <w:r w:rsidRPr="00F002C9">
        <w:rPr>
          <w:rFonts w:ascii="Times New Roman" w:hAnsi="Times New Roman" w:cs="Times New Roman"/>
        </w:rPr>
        <w:t>For the Applicant</w:t>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Signature:</w:t>
      </w: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 xml:space="preserve">Name: </w:t>
      </w: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 xml:space="preserve">Title: </w:t>
      </w: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 xml:space="preserve">Place: </w:t>
      </w:r>
      <w:r w:rsidRPr="00F002C9">
        <w:rPr>
          <w:rFonts w:ascii="Times New Roman" w:hAnsi="Times New Roman" w:cs="Times New Roman"/>
        </w:rPr>
        <w:tab/>
      </w:r>
    </w:p>
    <w:p w:rsidR="00A63500" w:rsidRPr="00F002C9" w:rsidRDefault="00A63500" w:rsidP="00AB6888">
      <w:pPr>
        <w:pStyle w:val="tbs"/>
        <w:jc w:val="both"/>
        <w:rPr>
          <w:rFonts w:ascii="Times New Roman" w:hAnsi="Times New Roman" w:cs="Times New Roman"/>
        </w:rPr>
      </w:pPr>
      <w:r w:rsidRPr="00F002C9">
        <w:rPr>
          <w:rFonts w:ascii="Times New Roman" w:hAnsi="Times New Roman" w:cs="Times New Roman"/>
        </w:rPr>
        <w:t xml:space="preserve">Date (dd/mm/yyyy): </w:t>
      </w:r>
      <w:r w:rsidRPr="00F002C9">
        <w:rPr>
          <w:rFonts w:ascii="Times New Roman" w:hAnsi="Times New Roman" w:cs="Times New Roman"/>
        </w:rPr>
        <w:tab/>
      </w:r>
    </w:p>
    <w:p w:rsidR="00A63500" w:rsidRDefault="00A63500" w:rsidP="00AB6888">
      <w:pPr>
        <w:jc w:val="both"/>
        <w:sectPr w:rsidR="00A63500" w:rsidSect="006B62D8">
          <w:headerReference w:type="default" r:id="rId8"/>
          <w:footerReference w:type="default" r:id="rId9"/>
          <w:footnotePr>
            <w:numRestart w:val="eachSect"/>
          </w:footnotePr>
          <w:pgSz w:w="11907" w:h="16839" w:code="9"/>
          <w:pgMar w:top="1440" w:right="1440" w:bottom="1080" w:left="1440" w:header="720" w:footer="720" w:gutter="0"/>
          <w:cols w:space="720"/>
          <w:docGrid w:linePitch="360"/>
        </w:sectPr>
      </w:pPr>
    </w:p>
    <w:p w:rsidR="00A63500" w:rsidRPr="0093601F" w:rsidRDefault="00A63500" w:rsidP="00AB6888">
      <w:pPr>
        <w:pStyle w:val="Heading1"/>
        <w:spacing w:before="0" w:after="120"/>
        <w:ind w:left="425" w:hanging="425"/>
        <w:jc w:val="both"/>
        <w:rPr>
          <w:rFonts w:ascii="Times New Roman" w:hAnsi="Times New Roman" w:cs="Times New Roman"/>
          <w:szCs w:val="40"/>
        </w:rPr>
      </w:pPr>
      <w:bookmarkStart w:id="2" w:name="_Annex_1a"/>
      <w:bookmarkEnd w:id="2"/>
      <w:r w:rsidRPr="0093601F">
        <w:rPr>
          <w:rFonts w:ascii="Times New Roman" w:hAnsi="Times New Roman" w:cs="Times New Roman"/>
          <w:szCs w:val="40"/>
        </w:rPr>
        <w:lastRenderedPageBreak/>
        <w:t>Annex 1a</w:t>
      </w:r>
    </w:p>
    <w:p w:rsidR="00A63500" w:rsidRPr="00A63500" w:rsidRDefault="00A63500" w:rsidP="00AB6888">
      <w:pPr>
        <w:pStyle w:val="para"/>
        <w:keepNext/>
        <w:keepLines/>
        <w:spacing w:after="120"/>
        <w:rPr>
          <w:rFonts w:ascii="Times New Roman" w:hAnsi="Times New Roman" w:cs="Times New Roman"/>
          <w:b/>
          <w:bCs/>
          <w:sz w:val="32"/>
          <w:szCs w:val="32"/>
          <w:lang w:val="en-GB"/>
        </w:rPr>
      </w:pPr>
    </w:p>
    <w:p w:rsidR="00A63500" w:rsidRPr="00A63500" w:rsidRDefault="00A63500" w:rsidP="00AB6888">
      <w:pPr>
        <w:pStyle w:val="para"/>
        <w:keepNext/>
        <w:keepLines/>
        <w:spacing w:after="120"/>
        <w:rPr>
          <w:rFonts w:ascii="Times New Roman" w:hAnsi="Times New Roman" w:cs="Times New Roman"/>
          <w:b/>
          <w:bCs/>
          <w:sz w:val="32"/>
          <w:szCs w:val="32"/>
          <w:lang w:val="en-GB"/>
        </w:rPr>
      </w:pPr>
      <w:r w:rsidRPr="00A63500">
        <w:rPr>
          <w:rFonts w:ascii="Times New Roman" w:hAnsi="Times New Roman" w:cs="Times New Roman"/>
          <w:b/>
          <w:bCs/>
          <w:sz w:val="32"/>
          <w:szCs w:val="32"/>
          <w:lang w:val="en-GB"/>
        </w:rPr>
        <w:t>Model authorization letter to be used if the applicant is not the holder of the reference NRA marketing authorization or WHO prequalification.</w:t>
      </w:r>
    </w:p>
    <w:p w:rsidR="00A63500" w:rsidRPr="00781E42" w:rsidRDefault="00A63500" w:rsidP="00AB6888">
      <w:pPr>
        <w:pStyle w:val="para"/>
        <w:keepNext/>
        <w:keepLines/>
        <w:spacing w:after="120"/>
        <w:rPr>
          <w:rFonts w:ascii="Times New Roman" w:hAnsi="Times New Roman" w:cs="Times New Roman"/>
          <w:sz w:val="20"/>
          <w:szCs w:val="24"/>
        </w:rPr>
      </w:pPr>
      <w:r w:rsidRPr="00781E42">
        <w:rPr>
          <w:rFonts w:ascii="Times New Roman" w:hAnsi="Times New Roman" w:cs="Times New Roman"/>
          <w:sz w:val="20"/>
          <w:szCs w:val="24"/>
        </w:rPr>
        <w:t>A separate letter for each participating ASEAN NRA should be provided along with the Expression of Interest</w:t>
      </w:r>
      <w:r>
        <w:rPr>
          <w:rFonts w:ascii="Times New Roman" w:hAnsi="Times New Roman" w:cs="Times New Roman"/>
          <w:sz w:val="20"/>
          <w:szCs w:val="24"/>
        </w:rPr>
        <w:t xml:space="preserve">. A </w:t>
      </w:r>
      <w:r w:rsidRPr="00781E42">
        <w:rPr>
          <w:rFonts w:ascii="Times New Roman" w:hAnsi="Times New Roman" w:cs="Times New Roman"/>
          <w:sz w:val="20"/>
          <w:szCs w:val="24"/>
        </w:rPr>
        <w:t xml:space="preserve">copy </w:t>
      </w:r>
      <w:r>
        <w:rPr>
          <w:rFonts w:ascii="Times New Roman" w:hAnsi="Times New Roman" w:cs="Times New Roman"/>
          <w:sz w:val="20"/>
          <w:szCs w:val="24"/>
        </w:rPr>
        <w:t xml:space="preserve">should be </w:t>
      </w:r>
      <w:r w:rsidRPr="00781E42">
        <w:rPr>
          <w:rFonts w:ascii="Times New Roman" w:hAnsi="Times New Roman" w:cs="Times New Roman"/>
          <w:sz w:val="20"/>
          <w:szCs w:val="24"/>
        </w:rPr>
        <w:t>provided to the reference NRA or to WHO/PQP</w:t>
      </w:r>
      <w:r>
        <w:rPr>
          <w:rFonts w:ascii="Times New Roman" w:hAnsi="Times New Roman" w:cs="Times New Roman"/>
          <w:sz w:val="20"/>
          <w:szCs w:val="24"/>
        </w:rPr>
        <w:t>,</w:t>
      </w:r>
      <w:r w:rsidRPr="00781E42">
        <w:rPr>
          <w:rFonts w:ascii="Times New Roman" w:hAnsi="Times New Roman" w:cs="Times New Roman"/>
          <w:sz w:val="20"/>
          <w:szCs w:val="24"/>
        </w:rPr>
        <w:t xml:space="preserve"> as applicable.</w:t>
      </w:r>
    </w:p>
    <w:p w:rsidR="00A63500" w:rsidRPr="00781E42" w:rsidRDefault="00A63500" w:rsidP="00AB6888">
      <w:pPr>
        <w:pStyle w:val="para"/>
        <w:keepNext/>
        <w:keepLines/>
        <w:spacing w:after="120"/>
        <w:rPr>
          <w:rFonts w:ascii="Times New Roman" w:hAnsi="Times New Roman" w:cs="Times New Roman"/>
          <w:sz w:val="24"/>
          <w:szCs w:val="24"/>
        </w:rPr>
      </w:pPr>
    </w:p>
    <w:p w:rsidR="00A63500" w:rsidRDefault="00A63500" w:rsidP="00AB6888">
      <w:pPr>
        <w:pStyle w:val="para"/>
        <w:keepNext/>
        <w:keepLines/>
        <w:spacing w:after="120"/>
        <w:rPr>
          <w:rFonts w:ascii="Times New Roman" w:hAnsi="Times New Roman" w:cs="Times New Roman"/>
          <w:sz w:val="24"/>
          <w:szCs w:val="24"/>
        </w:rPr>
      </w:pPr>
    </w:p>
    <w:p w:rsidR="00A63500" w:rsidRDefault="00A63500" w:rsidP="00AB6888">
      <w:pPr>
        <w:pStyle w:val="para"/>
        <w:keepNext/>
        <w:keepLines/>
        <w:spacing w:after="120"/>
        <w:rPr>
          <w:rFonts w:ascii="Times New Roman" w:hAnsi="Times New Roman" w:cs="Times New Roman"/>
          <w:sz w:val="24"/>
          <w:szCs w:val="24"/>
        </w:rPr>
      </w:pPr>
    </w:p>
    <w:p w:rsidR="00A63500" w:rsidRPr="00781E42" w:rsidRDefault="00A63500" w:rsidP="00AB6888">
      <w:pPr>
        <w:pStyle w:val="para"/>
        <w:keepNext/>
        <w:keepLines/>
        <w:spacing w:after="120"/>
        <w:rPr>
          <w:rFonts w:ascii="Times New Roman" w:hAnsi="Times New Roman" w:cs="Times New Roman"/>
          <w:sz w:val="24"/>
          <w:szCs w:val="24"/>
        </w:rPr>
      </w:pPr>
      <w:r w:rsidRPr="00781E42">
        <w:rPr>
          <w:rFonts w:ascii="Times New Roman" w:hAnsi="Times New Roman" w:cs="Times New Roman"/>
          <w:sz w:val="24"/>
          <w:szCs w:val="24"/>
        </w:rPr>
        <w:t>This is to confirm that___________________ (</w:t>
      </w:r>
      <w:r w:rsidRPr="00781E42">
        <w:rPr>
          <w:rFonts w:ascii="Times New Roman" w:hAnsi="Times New Roman" w:cs="Times New Roman"/>
          <w:i/>
          <w:iCs/>
          <w:sz w:val="24"/>
          <w:szCs w:val="24"/>
        </w:rPr>
        <w:t>applicant name</w:t>
      </w:r>
      <w:r w:rsidRPr="00781E42">
        <w:rPr>
          <w:rFonts w:ascii="Times New Roman" w:hAnsi="Times New Roman" w:cs="Times New Roman"/>
          <w:sz w:val="24"/>
          <w:szCs w:val="24"/>
        </w:rPr>
        <w:t>) submitting application for the ASEAN Joint Assessment Procedure for product ________________ approved by _________________ with authorization number _________________, is acting for, or pursuant to rights derived from __________________ (</w:t>
      </w:r>
      <w:r w:rsidRPr="00781E42">
        <w:rPr>
          <w:rFonts w:ascii="Times New Roman" w:hAnsi="Times New Roman" w:cs="Times New Roman"/>
          <w:i/>
          <w:iCs/>
          <w:sz w:val="24"/>
          <w:szCs w:val="24"/>
        </w:rPr>
        <w:t>name of reference NRA marketing authorization holder or WHO prequalification holder</w:t>
      </w:r>
      <w:r w:rsidRPr="00781E42">
        <w:rPr>
          <w:rFonts w:ascii="Times New Roman" w:hAnsi="Times New Roman" w:cs="Times New Roman"/>
          <w:sz w:val="24"/>
          <w:szCs w:val="24"/>
        </w:rPr>
        <w:t>) and that __________________ (</w:t>
      </w:r>
      <w:r w:rsidRPr="00781E42">
        <w:rPr>
          <w:rFonts w:ascii="Times New Roman" w:hAnsi="Times New Roman" w:cs="Times New Roman"/>
          <w:i/>
          <w:iCs/>
          <w:sz w:val="24"/>
          <w:szCs w:val="24"/>
        </w:rPr>
        <w:t>name of reference NRA marketing authorization holder or WHO prequalification holder</w:t>
      </w:r>
      <w:r w:rsidRPr="00781E42">
        <w:rPr>
          <w:rFonts w:ascii="Times New Roman" w:hAnsi="Times New Roman" w:cs="Times New Roman"/>
          <w:sz w:val="24"/>
          <w:szCs w:val="24"/>
        </w:rPr>
        <w:t xml:space="preserve">) agrees with the application </w:t>
      </w:r>
      <w:r>
        <w:rPr>
          <w:rFonts w:ascii="Times New Roman" w:hAnsi="Times New Roman" w:cs="Times New Roman"/>
          <w:sz w:val="24"/>
          <w:szCs w:val="24"/>
        </w:rPr>
        <w:t xml:space="preserve">for </w:t>
      </w:r>
      <w:r w:rsidRPr="00781E42">
        <w:rPr>
          <w:rFonts w:ascii="Times New Roman" w:hAnsi="Times New Roman" w:cs="Times New Roman"/>
          <w:sz w:val="24"/>
          <w:szCs w:val="24"/>
        </w:rPr>
        <w:t xml:space="preserve">the </w:t>
      </w:r>
      <w:r>
        <w:rPr>
          <w:rFonts w:ascii="Times New Roman" w:hAnsi="Times New Roman" w:cs="Times New Roman"/>
          <w:sz w:val="24"/>
          <w:szCs w:val="24"/>
        </w:rPr>
        <w:t xml:space="preserve">Joint Assessment </w:t>
      </w:r>
      <w:r w:rsidRPr="00781E42">
        <w:rPr>
          <w:rFonts w:ascii="Times New Roman" w:hAnsi="Times New Roman" w:cs="Times New Roman"/>
          <w:sz w:val="24"/>
          <w:szCs w:val="24"/>
        </w:rPr>
        <w:t>procedure in the concerned ASEAN countries.</w:t>
      </w:r>
    </w:p>
    <w:p w:rsidR="00A63500" w:rsidRPr="00781E42" w:rsidRDefault="00A63500" w:rsidP="00AB6888">
      <w:pPr>
        <w:pStyle w:val="para"/>
        <w:spacing w:after="120"/>
        <w:rPr>
          <w:rFonts w:ascii="Times New Roman" w:hAnsi="Times New Roman" w:cs="Times New Roman"/>
          <w:sz w:val="24"/>
          <w:szCs w:val="24"/>
        </w:rPr>
      </w:pPr>
      <w:r w:rsidRPr="00781E42">
        <w:rPr>
          <w:rFonts w:ascii="Times New Roman" w:hAnsi="Times New Roman" w:cs="Times New Roman"/>
          <w:sz w:val="24"/>
          <w:szCs w:val="24"/>
        </w:rPr>
        <w:t>For____________________ (</w:t>
      </w:r>
      <w:r w:rsidRPr="00781E42">
        <w:rPr>
          <w:rFonts w:ascii="Times New Roman" w:hAnsi="Times New Roman" w:cs="Times New Roman"/>
          <w:i/>
          <w:iCs/>
          <w:sz w:val="24"/>
          <w:szCs w:val="24"/>
        </w:rPr>
        <w:t>name of reference NRA marketing authorization holder or WHO prequalification holder</w:t>
      </w:r>
      <w:r w:rsidRPr="00781E42">
        <w:rPr>
          <w:rFonts w:ascii="Times New Roman" w:hAnsi="Times New Roman" w:cs="Times New Roman"/>
          <w:sz w:val="24"/>
          <w:szCs w:val="24"/>
        </w:rPr>
        <w:t>) :</w:t>
      </w:r>
    </w:p>
    <w:p w:rsidR="00A63500" w:rsidRPr="00781E42" w:rsidRDefault="00A63500" w:rsidP="00AB6888">
      <w:pPr>
        <w:pStyle w:val="tbs"/>
        <w:jc w:val="both"/>
        <w:rPr>
          <w:rFonts w:ascii="Times New Roman" w:hAnsi="Times New Roman" w:cs="Times New Roman"/>
          <w:sz w:val="24"/>
          <w:szCs w:val="24"/>
        </w:rPr>
      </w:pPr>
      <w:r w:rsidRPr="00781E42">
        <w:rPr>
          <w:rFonts w:ascii="Times New Roman" w:hAnsi="Times New Roman" w:cs="Times New Roman"/>
          <w:sz w:val="24"/>
          <w:szCs w:val="24"/>
        </w:rPr>
        <w:t>Signature</w:t>
      </w:r>
      <w:r w:rsidRPr="00781E42">
        <w:rPr>
          <w:rFonts w:ascii="Times New Roman" w:hAnsi="Times New Roman" w:cs="Times New Roman"/>
          <w:sz w:val="24"/>
          <w:szCs w:val="24"/>
        </w:rPr>
        <w:tab/>
      </w:r>
    </w:p>
    <w:p w:rsidR="00A63500" w:rsidRPr="00781E42" w:rsidRDefault="00A63500" w:rsidP="00AB6888">
      <w:pPr>
        <w:pStyle w:val="tbs"/>
        <w:jc w:val="both"/>
        <w:rPr>
          <w:rFonts w:ascii="Times New Roman" w:hAnsi="Times New Roman" w:cs="Times New Roman"/>
          <w:sz w:val="24"/>
          <w:szCs w:val="24"/>
        </w:rPr>
      </w:pPr>
      <w:r w:rsidRPr="00781E42">
        <w:rPr>
          <w:rFonts w:ascii="Times New Roman" w:hAnsi="Times New Roman" w:cs="Times New Roman"/>
          <w:sz w:val="24"/>
          <w:szCs w:val="24"/>
        </w:rPr>
        <w:t>Name</w:t>
      </w:r>
      <w:r w:rsidRPr="00781E42">
        <w:rPr>
          <w:rFonts w:ascii="Times New Roman" w:hAnsi="Times New Roman" w:cs="Times New Roman"/>
          <w:sz w:val="24"/>
          <w:szCs w:val="24"/>
        </w:rPr>
        <w:tab/>
      </w:r>
    </w:p>
    <w:p w:rsidR="00A63500" w:rsidRPr="00781E42" w:rsidRDefault="00A63500" w:rsidP="00AB6888">
      <w:pPr>
        <w:pStyle w:val="tbs"/>
        <w:jc w:val="both"/>
        <w:rPr>
          <w:rFonts w:ascii="Times New Roman" w:hAnsi="Times New Roman" w:cs="Times New Roman"/>
          <w:sz w:val="24"/>
          <w:szCs w:val="24"/>
        </w:rPr>
      </w:pPr>
      <w:r w:rsidRPr="00781E42">
        <w:rPr>
          <w:rFonts w:ascii="Times New Roman" w:hAnsi="Times New Roman" w:cs="Times New Roman"/>
          <w:sz w:val="24"/>
          <w:szCs w:val="24"/>
        </w:rPr>
        <w:t>Title</w:t>
      </w:r>
      <w:r w:rsidRPr="00781E42">
        <w:rPr>
          <w:rFonts w:ascii="Times New Roman" w:hAnsi="Times New Roman" w:cs="Times New Roman"/>
          <w:sz w:val="24"/>
          <w:szCs w:val="24"/>
        </w:rPr>
        <w:tab/>
      </w:r>
    </w:p>
    <w:p w:rsidR="00A63500" w:rsidRPr="00781E42" w:rsidRDefault="00A63500" w:rsidP="00AB6888">
      <w:pPr>
        <w:jc w:val="both"/>
        <w:rPr>
          <w:rFonts w:ascii="Times New Roman" w:hAnsi="Times New Roman" w:cs="Times New Roman"/>
          <w:sz w:val="24"/>
          <w:szCs w:val="24"/>
        </w:rPr>
      </w:pPr>
      <w:r w:rsidRPr="00781E42">
        <w:rPr>
          <w:rFonts w:ascii="Times New Roman" w:hAnsi="Times New Roman" w:cs="Times New Roman"/>
          <w:sz w:val="24"/>
          <w:szCs w:val="24"/>
        </w:rPr>
        <w:t>Date</w:t>
      </w:r>
    </w:p>
    <w:p w:rsidR="00A63500" w:rsidRPr="00781E42" w:rsidRDefault="00A63500" w:rsidP="00AB6888">
      <w:pPr>
        <w:jc w:val="both"/>
        <w:rPr>
          <w:rFonts w:ascii="Times New Roman" w:hAnsi="Times New Roman" w:cs="Times New Roman"/>
          <w:sz w:val="24"/>
          <w:szCs w:val="24"/>
        </w:rPr>
      </w:pPr>
    </w:p>
    <w:p w:rsidR="00A63500" w:rsidRDefault="00A63500" w:rsidP="00AB6888">
      <w:pPr>
        <w:jc w:val="both"/>
        <w:sectPr w:rsidR="00A63500" w:rsidSect="00A63500">
          <w:headerReference w:type="default" r:id="rId10"/>
          <w:type w:val="continuous"/>
          <w:pgSz w:w="11907" w:h="16839" w:code="9"/>
          <w:pgMar w:top="1440" w:right="1440" w:bottom="1440" w:left="1440" w:header="708" w:footer="708" w:gutter="0"/>
          <w:cols w:space="708"/>
          <w:docGrid w:linePitch="360"/>
        </w:sectPr>
      </w:pPr>
    </w:p>
    <w:p w:rsidR="00A63500" w:rsidRDefault="00A63500" w:rsidP="00AB6888">
      <w:pPr>
        <w:jc w:val="both"/>
        <w:rPr>
          <w:rFonts w:ascii="Times New Roman" w:hAnsi="Times New Roman" w:cs="Times New Roman"/>
          <w:b/>
          <w:bCs/>
          <w:color w:val="000000"/>
          <w:sz w:val="32"/>
          <w:szCs w:val="32"/>
          <w:lang w:val="en-US"/>
        </w:rPr>
      </w:pPr>
      <w:r>
        <w:rPr>
          <w:rFonts w:ascii="Times New Roman" w:hAnsi="Times New Roman" w:cs="Times New Roman"/>
        </w:rPr>
        <w:lastRenderedPageBreak/>
        <w:br w:type="page"/>
      </w:r>
    </w:p>
    <w:p w:rsidR="00A63500" w:rsidRPr="00A63500" w:rsidRDefault="00A63500" w:rsidP="00AB6888">
      <w:pPr>
        <w:pStyle w:val="Heading1"/>
        <w:spacing w:before="240"/>
        <w:ind w:left="0" w:firstLine="0"/>
        <w:jc w:val="both"/>
        <w:rPr>
          <w:rFonts w:ascii="Times New Roman" w:hAnsi="Times New Roman" w:cs="Times New Roman"/>
          <w:lang w:val="en-GB"/>
        </w:rPr>
      </w:pPr>
      <w:bookmarkStart w:id="3" w:name="_Annex_2a"/>
      <w:bookmarkEnd w:id="3"/>
      <w:r w:rsidRPr="00A63500">
        <w:rPr>
          <w:rFonts w:ascii="Times New Roman" w:hAnsi="Times New Roman" w:cs="Times New Roman"/>
          <w:lang w:val="en-GB"/>
        </w:rPr>
        <w:lastRenderedPageBreak/>
        <w:t>Annex 2a</w:t>
      </w:r>
    </w:p>
    <w:p w:rsidR="00A63500" w:rsidRPr="00A63500" w:rsidRDefault="00A63500" w:rsidP="00AB6888">
      <w:pPr>
        <w:pStyle w:val="Heading1"/>
        <w:spacing w:before="240"/>
        <w:ind w:left="0" w:firstLine="0"/>
        <w:jc w:val="both"/>
        <w:rPr>
          <w:rFonts w:ascii="Times New Roman" w:hAnsi="Times New Roman" w:cs="Times New Roman"/>
          <w:lang w:val="en-GB"/>
        </w:rPr>
      </w:pPr>
      <w:r w:rsidRPr="00A63500">
        <w:rPr>
          <w:rFonts w:ascii="Times New Roman" w:hAnsi="Times New Roman" w:cs="Times New Roman"/>
          <w:lang w:val="en-GB"/>
        </w:rPr>
        <w:t>Marketing authorization holder gives consent to reference NRA to share confidential information with ASEAN NRA for Joint Assessment Procedure</w:t>
      </w:r>
    </w:p>
    <w:p w:rsidR="00A63500" w:rsidRDefault="00A63500" w:rsidP="00AB6888">
      <w:pPr>
        <w:autoSpaceDE w:val="0"/>
        <w:autoSpaceDN w:val="0"/>
        <w:adjustRightInd w:val="0"/>
        <w:spacing w:after="0"/>
        <w:jc w:val="both"/>
        <w:rPr>
          <w:rFonts w:ascii="Times New Roman" w:hAnsi="Times New Roman" w:cs="Times New Roman"/>
          <w:color w:val="000000"/>
        </w:rPr>
      </w:pPr>
      <w:r w:rsidRPr="00D970F6">
        <w:rPr>
          <w:rFonts w:ascii="Times New Roman" w:hAnsi="Times New Roman" w:cs="Times New Roman"/>
          <w:color w:val="000000"/>
        </w:rPr>
        <w:t xml:space="preserve">The </w:t>
      </w:r>
      <w:r>
        <w:rPr>
          <w:rFonts w:ascii="Times New Roman" w:hAnsi="Times New Roman" w:cs="Times New Roman"/>
          <w:color w:val="000000"/>
        </w:rPr>
        <w:t xml:space="preserve">marketing authorization </w:t>
      </w:r>
      <w:r w:rsidRPr="00D970F6">
        <w:rPr>
          <w:rFonts w:ascii="Times New Roman" w:hAnsi="Times New Roman" w:cs="Times New Roman"/>
          <w:color w:val="000000"/>
        </w:rPr>
        <w:t xml:space="preserve">holder hereby consents to </w:t>
      </w:r>
      <w:r>
        <w:rPr>
          <w:rFonts w:ascii="Times New Roman" w:hAnsi="Times New Roman" w:cs="Times New Roman"/>
          <w:color w:val="000000"/>
        </w:rPr>
        <w:t xml:space="preserve">_______________ </w:t>
      </w:r>
      <w:r w:rsidRPr="00D970F6">
        <w:rPr>
          <w:rFonts w:ascii="Times New Roman" w:hAnsi="Times New Roman" w:cs="Times New Roman"/>
          <w:color w:val="000000"/>
        </w:rPr>
        <w:t>(</w:t>
      </w:r>
      <w:r w:rsidRPr="00D970F6">
        <w:rPr>
          <w:rFonts w:ascii="Times New Roman" w:hAnsi="Times New Roman" w:cs="Times New Roman"/>
          <w:i/>
          <w:color w:val="000000"/>
        </w:rPr>
        <w:t xml:space="preserve">name of </w:t>
      </w:r>
      <w:r>
        <w:rPr>
          <w:rFonts w:ascii="Times New Roman" w:hAnsi="Times New Roman" w:cs="Times New Roman"/>
          <w:i/>
          <w:color w:val="000000"/>
        </w:rPr>
        <w:t xml:space="preserve">reference </w:t>
      </w:r>
      <w:r w:rsidRPr="00D970F6">
        <w:rPr>
          <w:rFonts w:ascii="Times New Roman" w:hAnsi="Times New Roman" w:cs="Times New Roman"/>
          <w:i/>
          <w:color w:val="000000"/>
        </w:rPr>
        <w:t>NRA</w:t>
      </w:r>
      <w:r w:rsidRPr="00D970F6">
        <w:rPr>
          <w:rFonts w:ascii="Times New Roman" w:hAnsi="Times New Roman" w:cs="Times New Roman"/>
          <w:color w:val="000000"/>
        </w:rPr>
        <w:t>) providing the following information and documentation to __________</w:t>
      </w:r>
      <w:r>
        <w:rPr>
          <w:rFonts w:ascii="Times New Roman" w:hAnsi="Times New Roman" w:cs="Times New Roman"/>
          <w:color w:val="000000"/>
        </w:rPr>
        <w:t>______</w:t>
      </w:r>
      <w:r w:rsidRPr="00D970F6">
        <w:rPr>
          <w:rFonts w:ascii="Times New Roman" w:hAnsi="Times New Roman" w:cs="Times New Roman"/>
          <w:color w:val="000000"/>
        </w:rPr>
        <w:t>(</w:t>
      </w:r>
      <w:r w:rsidRPr="00D970F6">
        <w:rPr>
          <w:rFonts w:ascii="Times New Roman" w:hAnsi="Times New Roman" w:cs="Times New Roman"/>
          <w:i/>
          <w:color w:val="000000"/>
        </w:rPr>
        <w:t>name and address of ASEAN NRA</w:t>
      </w:r>
      <w:r w:rsidRPr="00D970F6">
        <w:rPr>
          <w:rFonts w:ascii="Times New Roman" w:hAnsi="Times New Roman" w:cs="Times New Roman"/>
          <w:color w:val="000000"/>
        </w:rPr>
        <w:t xml:space="preserve">) to be used in conjunction with </w:t>
      </w:r>
      <w:r>
        <w:rPr>
          <w:rFonts w:ascii="Times New Roman" w:hAnsi="Times New Roman" w:cs="Times New Roman"/>
          <w:color w:val="000000"/>
        </w:rPr>
        <w:t xml:space="preserve">the </w:t>
      </w:r>
      <w:r w:rsidRPr="00D970F6">
        <w:rPr>
          <w:rFonts w:ascii="Times New Roman" w:hAnsi="Times New Roman" w:cs="Times New Roman"/>
          <w:color w:val="000000"/>
        </w:rPr>
        <w:t>ASEAN Joint Assessment procedure applied to the product described below</w:t>
      </w:r>
      <w:r>
        <w:rPr>
          <w:rFonts w:ascii="Times New Roman" w:hAnsi="Times New Roman" w:cs="Times New Roman"/>
          <w:color w:val="000000"/>
        </w:rPr>
        <w:t>,</w:t>
      </w:r>
      <w:r w:rsidRPr="00D970F6">
        <w:rPr>
          <w:rFonts w:ascii="Times New Roman" w:hAnsi="Times New Roman" w:cs="Times New Roman"/>
          <w:color w:val="000000"/>
        </w:rPr>
        <w:t xml:space="preserve"> and to freely discuss </w:t>
      </w:r>
      <w:r>
        <w:rPr>
          <w:rFonts w:ascii="Times New Roman" w:hAnsi="Times New Roman" w:cs="Times New Roman"/>
          <w:color w:val="000000"/>
        </w:rPr>
        <w:t xml:space="preserve">product-related matters </w:t>
      </w:r>
      <w:r w:rsidRPr="00D970F6">
        <w:rPr>
          <w:rFonts w:ascii="Times New Roman" w:hAnsi="Times New Roman" w:cs="Times New Roman"/>
          <w:color w:val="000000"/>
        </w:rPr>
        <w:t xml:space="preserve">with the aforesaid </w:t>
      </w:r>
      <w:r>
        <w:rPr>
          <w:rFonts w:ascii="Times New Roman" w:hAnsi="Times New Roman" w:cs="Times New Roman"/>
          <w:color w:val="000000"/>
        </w:rPr>
        <w:t xml:space="preserve">ASEAN </w:t>
      </w:r>
      <w:r w:rsidRPr="00D970F6">
        <w:rPr>
          <w:rFonts w:ascii="Times New Roman" w:hAnsi="Times New Roman" w:cs="Times New Roman"/>
          <w:color w:val="000000"/>
        </w:rPr>
        <w:t>NRA:</w:t>
      </w:r>
    </w:p>
    <w:p w:rsidR="00A63500" w:rsidRDefault="00A63500" w:rsidP="00AB6888">
      <w:pPr>
        <w:autoSpaceDE w:val="0"/>
        <w:autoSpaceDN w:val="0"/>
        <w:adjustRightInd w:val="0"/>
        <w:spacing w:after="0"/>
        <w:jc w:val="both"/>
        <w:rPr>
          <w:rFonts w:ascii="Times New Roman" w:hAnsi="Times New Roman" w:cs="Times New Roman"/>
          <w:color w:val="000000"/>
        </w:rPr>
      </w:pP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the full assessment and inspections’ reports;</w:t>
      </w: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 xml:space="preserve">information and documentation on subsequent variations (as defined in the </w:t>
      </w:r>
      <w:r w:rsidRPr="00D970F6">
        <w:rPr>
          <w:rFonts w:ascii="Times New Roman" w:hAnsi="Times New Roman" w:cs="Times New Roman"/>
          <w:i/>
          <w:iCs/>
        </w:rPr>
        <w:t>WHO guidelines on variations to a prequalified product</w:t>
      </w:r>
      <w:r w:rsidRPr="00D970F6">
        <w:rPr>
          <w:rFonts w:ascii="Times New Roman" w:hAnsi="Times New Roman" w:cs="Times New Roman"/>
        </w:rPr>
        <w:t xml:space="preserve">, WHO Technical Report Series, No. 981, and any updates thereto), as well as information and documentation on any actions taken by </w:t>
      </w:r>
      <w:r>
        <w:rPr>
          <w:rFonts w:ascii="Times New Roman" w:hAnsi="Times New Roman" w:cs="Times New Roman"/>
        </w:rPr>
        <w:t xml:space="preserve">_____________ </w:t>
      </w:r>
      <w:r w:rsidRPr="00D970F6">
        <w:rPr>
          <w:rFonts w:ascii="Times New Roman" w:hAnsi="Times New Roman" w:cs="Times New Roman"/>
        </w:rPr>
        <w:t>(</w:t>
      </w:r>
      <w:r>
        <w:rPr>
          <w:rFonts w:ascii="Times New Roman" w:hAnsi="Times New Roman" w:cs="Times New Roman"/>
          <w:i/>
        </w:rPr>
        <w:t xml:space="preserve">reference </w:t>
      </w:r>
      <w:r w:rsidRPr="00D970F6">
        <w:rPr>
          <w:rFonts w:ascii="Times New Roman" w:hAnsi="Times New Roman" w:cs="Times New Roman"/>
          <w:i/>
        </w:rPr>
        <w:t>NRA</w:t>
      </w:r>
      <w:r w:rsidRPr="00D970F6">
        <w:rPr>
          <w:rFonts w:ascii="Times New Roman" w:hAnsi="Times New Roman" w:cs="Times New Roman"/>
        </w:rPr>
        <w:t xml:space="preserve">)  </w:t>
      </w:r>
      <w:r>
        <w:rPr>
          <w:rFonts w:ascii="Times New Roman" w:hAnsi="Times New Roman" w:cs="Times New Roman"/>
        </w:rPr>
        <w:t>after product approval;</w:t>
      </w: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all</w:t>
      </w:r>
      <w:r w:rsidR="006B62D8">
        <w:rPr>
          <w:rFonts w:ascii="Times New Roman" w:hAnsi="Times New Roman" w:cs="Times New Roman"/>
        </w:rPr>
        <w:t xml:space="preserve"> </w:t>
      </w:r>
      <w:r>
        <w:rPr>
          <w:rFonts w:ascii="Times New Roman" w:hAnsi="Times New Roman" w:cs="Times New Roman"/>
        </w:rPr>
        <w:t>other</w:t>
      </w:r>
      <w:r w:rsidR="006B62D8">
        <w:rPr>
          <w:rFonts w:ascii="Times New Roman" w:hAnsi="Times New Roman" w:cs="Times New Roman"/>
        </w:rPr>
        <w:t xml:space="preserve"> </w:t>
      </w:r>
      <w:r w:rsidRPr="00D970F6">
        <w:rPr>
          <w:rFonts w:ascii="Times New Roman" w:hAnsi="Times New Roman" w:cs="Times New Roman"/>
        </w:rPr>
        <w:t>data, reports, information and documentation</w:t>
      </w:r>
      <w:r>
        <w:rPr>
          <w:rFonts w:ascii="Times New Roman" w:hAnsi="Times New Roman" w:cs="Times New Roman"/>
        </w:rPr>
        <w:t xml:space="preserve"> that are in possession of </w:t>
      </w:r>
      <w:r w:rsidRPr="00D970F6">
        <w:rPr>
          <w:rFonts w:ascii="Times New Roman" w:hAnsi="Times New Roman" w:cs="Times New Roman"/>
        </w:rPr>
        <w:t xml:space="preserve">by </w:t>
      </w:r>
      <w:r>
        <w:rPr>
          <w:rFonts w:ascii="Times New Roman" w:hAnsi="Times New Roman" w:cs="Times New Roman"/>
        </w:rPr>
        <w:t xml:space="preserve">_____________ </w:t>
      </w:r>
      <w:r w:rsidRPr="00D970F6">
        <w:rPr>
          <w:rFonts w:ascii="Times New Roman" w:hAnsi="Times New Roman" w:cs="Times New Roman"/>
        </w:rPr>
        <w:t>(</w:t>
      </w:r>
      <w:r>
        <w:rPr>
          <w:rFonts w:ascii="Times New Roman" w:hAnsi="Times New Roman" w:cs="Times New Roman"/>
          <w:i/>
        </w:rPr>
        <w:t xml:space="preserve">reference </w:t>
      </w:r>
      <w:r w:rsidRPr="00D970F6">
        <w:rPr>
          <w:rFonts w:ascii="Times New Roman" w:hAnsi="Times New Roman" w:cs="Times New Roman"/>
          <w:i/>
        </w:rPr>
        <w:t>NRA</w:t>
      </w:r>
      <w:r w:rsidRPr="00D970F6">
        <w:rPr>
          <w:rFonts w:ascii="Times New Roman" w:hAnsi="Times New Roman" w:cs="Times New Roman"/>
        </w:rPr>
        <w:t xml:space="preserve">)  </w:t>
      </w:r>
      <w:r>
        <w:rPr>
          <w:rFonts w:ascii="Times New Roman" w:hAnsi="Times New Roman" w:cs="Times New Roman"/>
        </w:rPr>
        <w:t>and are necessary for the ASEAN Joint Assessment procedure</w:t>
      </w:r>
      <w:r w:rsidRPr="00D970F6">
        <w:rPr>
          <w:rFonts w:ascii="Times New Roman" w:hAnsi="Times New Roman" w:cs="Times New Roman"/>
        </w:rPr>
        <w:t>.</w:t>
      </w:r>
    </w:p>
    <w:p w:rsidR="00A63500" w:rsidRPr="00D970F6" w:rsidRDefault="00A63500" w:rsidP="00AB6888">
      <w:pPr>
        <w:pStyle w:val="para2"/>
        <w:rPr>
          <w:rFonts w:ascii="Times New Roman" w:hAnsi="Times New Roman" w:cs="Times New Roman"/>
          <w:sz w:val="13"/>
          <w:szCs w:val="13"/>
        </w:rPr>
      </w:pPr>
      <w:r w:rsidRPr="00D970F6">
        <w:rPr>
          <w:rFonts w:ascii="Times New Roman" w:hAnsi="Times New Roman" w:cs="Times New Roman"/>
        </w:rPr>
        <w:t xml:space="preserve">As regards sharing the outcomes of assessments and inspections, only data owned by the </w:t>
      </w:r>
      <w:r>
        <w:rPr>
          <w:rFonts w:ascii="Times New Roman" w:hAnsi="Times New Roman" w:cs="Times New Roman"/>
        </w:rPr>
        <w:t xml:space="preserve">marketing authorization </w:t>
      </w:r>
      <w:r w:rsidRPr="00D970F6">
        <w:rPr>
          <w:rFonts w:ascii="Times New Roman" w:hAnsi="Times New Roman" w:cs="Times New Roman"/>
        </w:rPr>
        <w:t>holder are shared. Sharing of any other data is subject to additional agreement of the data owners concerned.</w:t>
      </w:r>
      <w:r w:rsidRPr="00D970F6">
        <w:rPr>
          <w:rStyle w:val="FootnoteReference"/>
          <w:rFonts w:cs="Times New Roman"/>
        </w:rPr>
        <w:footnoteReference w:id="12"/>
      </w:r>
    </w:p>
    <w:p w:rsidR="00A63500" w:rsidRPr="00D970F6" w:rsidRDefault="00A63500" w:rsidP="00AB6888">
      <w:pPr>
        <w:pStyle w:val="Heading3"/>
        <w:keepNext w:val="0"/>
        <w:spacing w:before="120"/>
        <w:jc w:val="both"/>
        <w:rPr>
          <w:rFonts w:ascii="Times New Roman" w:hAnsi="Times New Roman" w:cs="Times New Roman"/>
        </w:rPr>
      </w:pPr>
      <w:r w:rsidRPr="00D970F6">
        <w:rPr>
          <w:rFonts w:ascii="Times New Roman" w:hAnsi="Times New Roman" w:cs="Times New Roman"/>
        </w:rPr>
        <w:t xml:space="preserve">Product details: </w:t>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INN(s):</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Dosage form and strength: </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Packaging: </w:t>
      </w:r>
      <w:r w:rsidRPr="00D970F6">
        <w:rPr>
          <w:rFonts w:ascii="Times New Roman" w:hAnsi="Times New Roman" w:cs="Times New Roman"/>
        </w:rPr>
        <w:tab/>
      </w:r>
    </w:p>
    <w:p w:rsidR="00A63500" w:rsidRPr="00D970F6" w:rsidRDefault="00A63500" w:rsidP="00AB6888">
      <w:pPr>
        <w:pStyle w:val="tbs"/>
        <w:ind w:left="567" w:hanging="283"/>
        <w:jc w:val="both"/>
        <w:rPr>
          <w:rFonts w:ascii="Times New Roman" w:hAnsi="Times New Roman" w:cs="Times New Roman"/>
        </w:rPr>
      </w:pPr>
      <w:r w:rsidRPr="00D970F6">
        <w:rPr>
          <w:rFonts w:ascii="Times New Roman" w:hAnsi="Times New Roman" w:cs="Times New Roman"/>
        </w:rPr>
        <w:t>Detailed</w:t>
      </w:r>
      <w:r w:rsidRPr="00D970F6">
        <w:rPr>
          <w:rStyle w:val="FootnoteReference"/>
          <w:rFonts w:cs="Times New Roman"/>
        </w:rPr>
        <w:footnoteReference w:id="13"/>
      </w:r>
      <w:r w:rsidRPr="00D970F6">
        <w:rPr>
          <w:rFonts w:ascii="Times New Roman" w:hAnsi="Times New Roman" w:cs="Times New Roman"/>
        </w:rPr>
        <w:t xml:space="preserve"> address of manufacturing site(s): </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Brand name, if applicable: </w:t>
      </w:r>
      <w:r w:rsidRPr="00D970F6">
        <w:rPr>
          <w:rFonts w:ascii="Times New Roman" w:hAnsi="Times New Roman" w:cs="Times New Roman"/>
        </w:rPr>
        <w:tab/>
      </w:r>
    </w:p>
    <w:p w:rsidR="00A63500" w:rsidRPr="00F002C9" w:rsidRDefault="00A63500" w:rsidP="00AB6888">
      <w:pPr>
        <w:pStyle w:val="Heading3"/>
        <w:spacing w:line="240" w:lineRule="auto"/>
        <w:jc w:val="both"/>
        <w:rPr>
          <w:rFonts w:ascii="Times New Roman" w:hAnsi="Times New Roman" w:cs="Times New Roman"/>
        </w:rPr>
      </w:pPr>
      <w:r w:rsidRPr="00F002C9">
        <w:rPr>
          <w:rFonts w:ascii="Times New Roman" w:hAnsi="Times New Roman" w:cs="Times New Roman"/>
        </w:rPr>
        <w:t xml:space="preserve">Reference approval details: </w:t>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Reference NRA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Marketing authorization number: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 xml:space="preserve">Date of approval (dd/mm/yyyy): </w:t>
      </w:r>
      <w:r w:rsidRPr="00F002C9">
        <w:rPr>
          <w:rFonts w:ascii="Times New Roman" w:hAnsi="Times New Roman" w:cs="Times New Roman"/>
        </w:rPr>
        <w:tab/>
      </w:r>
    </w:p>
    <w:p w:rsidR="00A63500" w:rsidRPr="00F002C9" w:rsidRDefault="00A63500" w:rsidP="00AB6888">
      <w:pPr>
        <w:pStyle w:val="tbs"/>
        <w:spacing w:line="240" w:lineRule="auto"/>
        <w:ind w:left="284"/>
        <w:jc w:val="both"/>
        <w:rPr>
          <w:rFonts w:ascii="Times New Roman" w:hAnsi="Times New Roman" w:cs="Times New Roman"/>
        </w:rPr>
      </w:pPr>
      <w:r w:rsidRPr="00F002C9">
        <w:rPr>
          <w:rFonts w:ascii="Times New Roman" w:hAnsi="Times New Roman" w:cs="Times New Roman"/>
        </w:rPr>
        <w:t>Date of latest revision</w:t>
      </w:r>
      <w:r w:rsidRPr="00F002C9">
        <w:rPr>
          <w:rStyle w:val="FootnoteReference"/>
          <w:rFonts w:cs="Times New Roman"/>
        </w:rPr>
        <w:footnoteReference w:id="14"/>
      </w:r>
      <w:r w:rsidRPr="00F002C9">
        <w:rPr>
          <w:rFonts w:ascii="Times New Roman" w:hAnsi="Times New Roman" w:cs="Times New Roman"/>
        </w:rPr>
        <w:t xml:space="preserve">, if applicable (dd/mm/yyyy): </w:t>
      </w:r>
      <w:r w:rsidRPr="00F002C9">
        <w:rPr>
          <w:rFonts w:ascii="Times New Roman" w:hAnsi="Times New Roman" w:cs="Times New Roman"/>
        </w:rPr>
        <w:tab/>
      </w:r>
    </w:p>
    <w:p w:rsidR="00A63500" w:rsidRDefault="00A63500" w:rsidP="00AB6888">
      <w:pPr>
        <w:pStyle w:val="Heading3"/>
        <w:jc w:val="both"/>
        <w:rPr>
          <w:rFonts w:ascii="Times New Roman" w:hAnsi="Times New Roman" w:cs="Times New Roman"/>
        </w:rPr>
      </w:pPr>
      <w:r w:rsidRPr="00F002C9">
        <w:rPr>
          <w:rFonts w:ascii="Times New Roman" w:hAnsi="Times New Roman" w:cs="Times New Roman"/>
        </w:rPr>
        <w:lastRenderedPageBreak/>
        <w:t xml:space="preserve">Marketing authorization holder: </w:t>
      </w:r>
    </w:p>
    <w:p w:rsidR="00A63500" w:rsidRPr="00D970F6" w:rsidRDefault="00A63500" w:rsidP="00AB6888">
      <w:pPr>
        <w:pStyle w:val="Heading3"/>
        <w:jc w:val="both"/>
        <w:rPr>
          <w:rFonts w:ascii="Times New Roman" w:hAnsi="Times New Roman" w:cs="Times New Roman"/>
        </w:rPr>
      </w:pPr>
      <w:r w:rsidRPr="00D970F6">
        <w:rPr>
          <w:rFonts w:ascii="Times New Roman" w:hAnsi="Times New Roman" w:cs="Times New Roman"/>
        </w:rPr>
        <w:t xml:space="preserve">Applicant details: </w:t>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Applicant: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Address: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ab/>
      </w:r>
    </w:p>
    <w:p w:rsidR="00A63500" w:rsidRPr="00D970F6" w:rsidRDefault="006B62D8" w:rsidP="00AB6888">
      <w:pPr>
        <w:pStyle w:val="tbs"/>
        <w:jc w:val="both"/>
        <w:rPr>
          <w:rFonts w:ascii="Times New Roman" w:hAnsi="Times New Roman" w:cs="Times New Roman"/>
        </w:rPr>
      </w:pPr>
      <w:r>
        <w:rPr>
          <w:rFonts w:ascii="Times New Roman" w:hAnsi="Times New Roman" w:cs="Times New Roman"/>
        </w:rPr>
        <w:t>E</w:t>
      </w:r>
      <w:r w:rsidR="00A63500" w:rsidRPr="00D970F6">
        <w:rPr>
          <w:rFonts w:ascii="Times New Roman" w:hAnsi="Times New Roman" w:cs="Times New Roman"/>
        </w:rPr>
        <w:t xml:space="preserve">mail: </w:t>
      </w:r>
      <w:r w:rsidR="00A63500"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Phone: </w:t>
      </w:r>
      <w:r w:rsidRPr="00D970F6">
        <w:rPr>
          <w:rFonts w:ascii="Times New Roman" w:hAnsi="Times New Roman" w:cs="Times New Roman"/>
        </w:rPr>
        <w:tab/>
      </w:r>
    </w:p>
    <w:p w:rsidR="00A63500" w:rsidRPr="00D970F6" w:rsidRDefault="00A63500" w:rsidP="00AB6888">
      <w:pPr>
        <w:autoSpaceDE w:val="0"/>
        <w:autoSpaceDN w:val="0"/>
        <w:adjustRightInd w:val="0"/>
        <w:spacing w:after="0"/>
        <w:jc w:val="both"/>
        <w:rPr>
          <w:rFonts w:ascii="Times New Roman" w:hAnsi="Times New Roman" w:cs="Times New Roman"/>
          <w:color w:val="000000"/>
          <w:sz w:val="24"/>
          <w:szCs w:val="24"/>
        </w:rPr>
      </w:pPr>
    </w:p>
    <w:p w:rsidR="00A63500" w:rsidRPr="00D970F6" w:rsidRDefault="00A63500" w:rsidP="00AB6888">
      <w:pPr>
        <w:autoSpaceDE w:val="0"/>
        <w:autoSpaceDN w:val="0"/>
        <w:adjustRightInd w:val="0"/>
        <w:spacing w:after="0"/>
        <w:jc w:val="both"/>
        <w:rPr>
          <w:rFonts w:ascii="Times New Roman" w:hAnsi="Times New Roman" w:cs="Times New Roman"/>
          <w:color w:val="000000"/>
          <w:sz w:val="24"/>
          <w:szCs w:val="24"/>
        </w:rPr>
      </w:pPr>
    </w:p>
    <w:p w:rsidR="00A63500" w:rsidRDefault="00A63500" w:rsidP="00AB6888">
      <w:pPr>
        <w:autoSpaceDE w:val="0"/>
        <w:autoSpaceDN w:val="0"/>
        <w:adjustRightInd w:val="0"/>
        <w:spacing w:after="0"/>
        <w:jc w:val="both"/>
        <w:rPr>
          <w:rFonts w:ascii="Times New Roman" w:hAnsi="Times New Roman" w:cs="Times New Roman"/>
          <w:color w:val="000000"/>
          <w:sz w:val="24"/>
          <w:szCs w:val="24"/>
        </w:rPr>
      </w:pPr>
      <w:r w:rsidRPr="00D970F6">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marketing authorization</w:t>
      </w:r>
      <w:r w:rsidRPr="00D970F6">
        <w:rPr>
          <w:rFonts w:ascii="Times New Roman" w:hAnsi="Times New Roman" w:cs="Times New Roman"/>
          <w:color w:val="000000"/>
          <w:sz w:val="24"/>
          <w:szCs w:val="24"/>
        </w:rPr>
        <w:t xml:space="preserve"> holder</w:t>
      </w:r>
    </w:p>
    <w:p w:rsidR="00217956" w:rsidRPr="00D970F6" w:rsidRDefault="00217956" w:rsidP="00AB6888">
      <w:pPr>
        <w:autoSpaceDE w:val="0"/>
        <w:autoSpaceDN w:val="0"/>
        <w:adjustRightInd w:val="0"/>
        <w:spacing w:after="0"/>
        <w:jc w:val="both"/>
        <w:rPr>
          <w:rFonts w:ascii="Times New Roman" w:hAnsi="Times New Roman" w:cs="Times New Roman"/>
          <w:color w:val="000000"/>
          <w:sz w:val="24"/>
          <w:szCs w:val="24"/>
        </w:rPr>
      </w:pP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Signature: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Name: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Title: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Place: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Date (dd/mm/yyyy):  </w:t>
      </w:r>
      <w:r w:rsidRPr="00D970F6">
        <w:rPr>
          <w:rFonts w:ascii="Times New Roman" w:hAnsi="Times New Roman" w:cs="Times New Roman"/>
        </w:rPr>
        <w:tab/>
      </w:r>
    </w:p>
    <w:p w:rsidR="00A63500" w:rsidRPr="00D970F6" w:rsidRDefault="00A63500" w:rsidP="00AB6888">
      <w:pPr>
        <w:autoSpaceDE w:val="0"/>
        <w:autoSpaceDN w:val="0"/>
        <w:adjustRightInd w:val="0"/>
        <w:spacing w:after="0"/>
        <w:jc w:val="both"/>
        <w:rPr>
          <w:rFonts w:ascii="Times New Roman" w:hAnsi="Times New Roman" w:cs="Times New Roman"/>
          <w:color w:val="000000"/>
          <w:sz w:val="18"/>
          <w:szCs w:val="18"/>
        </w:rPr>
      </w:pPr>
    </w:p>
    <w:p w:rsidR="00A63500" w:rsidRPr="00D970F6" w:rsidRDefault="00A63500" w:rsidP="00AB6888">
      <w:pPr>
        <w:jc w:val="both"/>
        <w:rPr>
          <w:rFonts w:ascii="Times New Roman" w:hAnsi="Times New Roman" w:cs="Times New Roman"/>
        </w:rPr>
      </w:pPr>
    </w:p>
    <w:p w:rsidR="00A63500" w:rsidRDefault="00A63500" w:rsidP="00AB6888">
      <w:pPr>
        <w:jc w:val="both"/>
        <w:sectPr w:rsidR="00A63500" w:rsidSect="00A63500">
          <w:headerReference w:type="default" r:id="rId11"/>
          <w:footnotePr>
            <w:numRestart w:val="eachSect"/>
          </w:footnotePr>
          <w:type w:val="continuous"/>
          <w:pgSz w:w="11907" w:h="16839" w:code="9"/>
          <w:pgMar w:top="1440" w:right="1440" w:bottom="1440" w:left="1440" w:header="720" w:footer="720" w:gutter="0"/>
          <w:cols w:space="720"/>
          <w:docGrid w:linePitch="360"/>
        </w:sectPr>
      </w:pPr>
    </w:p>
    <w:p w:rsidR="00A63500" w:rsidRDefault="00A63500" w:rsidP="00AB6888">
      <w:pPr>
        <w:jc w:val="both"/>
        <w:rPr>
          <w:rFonts w:ascii="Times New Roman" w:hAnsi="Times New Roman" w:cs="Times New Roman"/>
          <w:b/>
          <w:bCs/>
          <w:color w:val="000000"/>
          <w:sz w:val="32"/>
          <w:szCs w:val="32"/>
          <w:lang w:val="en-US"/>
        </w:rPr>
      </w:pPr>
      <w:r>
        <w:rPr>
          <w:rFonts w:ascii="Times New Roman" w:hAnsi="Times New Roman" w:cs="Times New Roman"/>
        </w:rPr>
        <w:lastRenderedPageBreak/>
        <w:br w:type="page"/>
      </w:r>
    </w:p>
    <w:p w:rsidR="00A63500" w:rsidRPr="00A63500" w:rsidRDefault="00A63500" w:rsidP="00AB6888">
      <w:pPr>
        <w:pStyle w:val="Heading1"/>
        <w:spacing w:before="240"/>
        <w:ind w:left="0" w:firstLine="0"/>
        <w:jc w:val="both"/>
        <w:rPr>
          <w:rFonts w:ascii="Times New Roman" w:hAnsi="Times New Roman" w:cs="Times New Roman"/>
          <w:lang w:val="en-GB"/>
        </w:rPr>
      </w:pPr>
      <w:bookmarkStart w:id="4" w:name="_Annex_2b"/>
      <w:bookmarkEnd w:id="4"/>
      <w:r>
        <w:rPr>
          <w:rFonts w:ascii="Times New Roman" w:hAnsi="Times New Roman" w:cs="Times New Roman"/>
          <w:lang w:val="en-GB"/>
        </w:rPr>
        <w:lastRenderedPageBreak/>
        <w:t>Annex 2b</w:t>
      </w:r>
    </w:p>
    <w:p w:rsidR="00A63500" w:rsidRPr="00A63500" w:rsidRDefault="00A63500" w:rsidP="00AB6888">
      <w:pPr>
        <w:pStyle w:val="Heading1"/>
        <w:spacing w:before="240"/>
        <w:ind w:left="0" w:firstLine="0"/>
        <w:jc w:val="both"/>
        <w:rPr>
          <w:rFonts w:ascii="Times New Roman" w:hAnsi="Times New Roman" w:cs="Times New Roman"/>
          <w:lang w:val="en-GB"/>
        </w:rPr>
      </w:pPr>
      <w:r w:rsidRPr="00A63500">
        <w:rPr>
          <w:rFonts w:ascii="Times New Roman" w:hAnsi="Times New Roman" w:cs="Times New Roman"/>
          <w:lang w:val="en-GB"/>
        </w:rPr>
        <w:t>WHO prequalification holder gives consent to WHO PQP to share confidential information with ASEAN NRA for Joint Assessment Procedure</w:t>
      </w:r>
    </w:p>
    <w:p w:rsidR="00A63500" w:rsidRDefault="00A63500" w:rsidP="00AB6888">
      <w:pPr>
        <w:autoSpaceDE w:val="0"/>
        <w:autoSpaceDN w:val="0"/>
        <w:adjustRightInd w:val="0"/>
        <w:spacing w:after="0"/>
        <w:jc w:val="both"/>
        <w:rPr>
          <w:rFonts w:ascii="Times New Roman" w:hAnsi="Times New Roman" w:cs="Times New Roman"/>
          <w:color w:val="000000"/>
        </w:rPr>
      </w:pPr>
      <w:r w:rsidRPr="00D970F6">
        <w:rPr>
          <w:rFonts w:ascii="Times New Roman" w:hAnsi="Times New Roman" w:cs="Times New Roman"/>
          <w:color w:val="000000"/>
        </w:rPr>
        <w:t>The WHO prequalification holder hereby consents to WHO/PQP providing the following information and documentation to __________</w:t>
      </w:r>
      <w:r>
        <w:rPr>
          <w:rFonts w:ascii="Times New Roman" w:hAnsi="Times New Roman" w:cs="Times New Roman"/>
          <w:color w:val="000000"/>
        </w:rPr>
        <w:t>______</w:t>
      </w:r>
      <w:r w:rsidRPr="00D970F6">
        <w:rPr>
          <w:rFonts w:ascii="Times New Roman" w:hAnsi="Times New Roman" w:cs="Times New Roman"/>
          <w:color w:val="000000"/>
        </w:rPr>
        <w:t>(</w:t>
      </w:r>
      <w:r w:rsidRPr="00D970F6">
        <w:rPr>
          <w:rFonts w:ascii="Times New Roman" w:hAnsi="Times New Roman" w:cs="Times New Roman"/>
          <w:i/>
          <w:color w:val="000000"/>
        </w:rPr>
        <w:t>name and address of ASEAN NRA</w:t>
      </w:r>
      <w:r w:rsidRPr="00D970F6">
        <w:rPr>
          <w:rFonts w:ascii="Times New Roman" w:hAnsi="Times New Roman" w:cs="Times New Roman"/>
          <w:color w:val="000000"/>
        </w:rPr>
        <w:t xml:space="preserve">) to be used in conjunction with </w:t>
      </w:r>
      <w:r>
        <w:rPr>
          <w:rFonts w:ascii="Times New Roman" w:hAnsi="Times New Roman" w:cs="Times New Roman"/>
          <w:color w:val="000000"/>
        </w:rPr>
        <w:t xml:space="preserve">the </w:t>
      </w:r>
      <w:r w:rsidRPr="00D970F6">
        <w:rPr>
          <w:rFonts w:ascii="Times New Roman" w:hAnsi="Times New Roman" w:cs="Times New Roman"/>
          <w:color w:val="000000"/>
        </w:rPr>
        <w:t>ASEAN Joint Assessment procedure applied to the product described below</w:t>
      </w:r>
      <w:r>
        <w:rPr>
          <w:rFonts w:ascii="Times New Roman" w:hAnsi="Times New Roman" w:cs="Times New Roman"/>
          <w:color w:val="000000"/>
        </w:rPr>
        <w:t>,</w:t>
      </w:r>
      <w:r w:rsidRPr="00D970F6">
        <w:rPr>
          <w:rFonts w:ascii="Times New Roman" w:hAnsi="Times New Roman" w:cs="Times New Roman"/>
          <w:color w:val="000000"/>
        </w:rPr>
        <w:t xml:space="preserve"> and to freely discuss </w:t>
      </w:r>
      <w:r>
        <w:rPr>
          <w:rFonts w:ascii="Times New Roman" w:hAnsi="Times New Roman" w:cs="Times New Roman"/>
          <w:color w:val="000000"/>
        </w:rPr>
        <w:t xml:space="preserve">product-related matters </w:t>
      </w:r>
      <w:r w:rsidRPr="00D970F6">
        <w:rPr>
          <w:rFonts w:ascii="Times New Roman" w:hAnsi="Times New Roman" w:cs="Times New Roman"/>
          <w:color w:val="000000"/>
        </w:rPr>
        <w:t xml:space="preserve">with the aforesaid </w:t>
      </w:r>
      <w:r>
        <w:rPr>
          <w:rFonts w:ascii="Times New Roman" w:hAnsi="Times New Roman" w:cs="Times New Roman"/>
          <w:color w:val="000000"/>
        </w:rPr>
        <w:t xml:space="preserve">ASEAN </w:t>
      </w:r>
      <w:r w:rsidRPr="00D970F6">
        <w:rPr>
          <w:rFonts w:ascii="Times New Roman" w:hAnsi="Times New Roman" w:cs="Times New Roman"/>
          <w:color w:val="000000"/>
        </w:rPr>
        <w:t>NRA:</w:t>
      </w:r>
    </w:p>
    <w:p w:rsidR="00A63500" w:rsidRPr="00D970F6" w:rsidRDefault="00A63500" w:rsidP="00AB6888">
      <w:pPr>
        <w:autoSpaceDE w:val="0"/>
        <w:autoSpaceDN w:val="0"/>
        <w:adjustRightInd w:val="0"/>
        <w:spacing w:after="0"/>
        <w:jc w:val="both"/>
        <w:rPr>
          <w:rFonts w:ascii="Times New Roman" w:hAnsi="Times New Roman" w:cs="Times New Roman"/>
          <w:color w:val="000000"/>
        </w:rPr>
      </w:pP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the full WHO/PQP assessment and inspections’ reports;</w:t>
      </w: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 xml:space="preserve">information and documentation on subsequent variations (as defined in the </w:t>
      </w:r>
      <w:r w:rsidRPr="00D970F6">
        <w:rPr>
          <w:rFonts w:ascii="Times New Roman" w:hAnsi="Times New Roman" w:cs="Times New Roman"/>
          <w:i/>
          <w:iCs/>
        </w:rPr>
        <w:t>WHO guidelines on variations to a prequalified product</w:t>
      </w:r>
      <w:r w:rsidRPr="00D970F6">
        <w:rPr>
          <w:rFonts w:ascii="Times New Roman" w:hAnsi="Times New Roman" w:cs="Times New Roman"/>
        </w:rPr>
        <w:t>, WHO Technical Report Series, No. 981, and any updates thereto), as well as information and documentation on any actions taken by WHO/PQP post-prequalification of the Product.</w:t>
      </w:r>
    </w:p>
    <w:p w:rsidR="00A63500" w:rsidRPr="00D970F6" w:rsidRDefault="00A63500" w:rsidP="00AB6888">
      <w:pPr>
        <w:pStyle w:val="blts"/>
        <w:numPr>
          <w:ilvl w:val="0"/>
          <w:numId w:val="4"/>
        </w:numPr>
        <w:jc w:val="both"/>
        <w:rPr>
          <w:rFonts w:ascii="Times New Roman" w:hAnsi="Times New Roman" w:cs="Times New Roman"/>
        </w:rPr>
      </w:pPr>
      <w:r w:rsidRPr="00D970F6">
        <w:rPr>
          <w:rFonts w:ascii="Times New Roman" w:hAnsi="Times New Roman" w:cs="Times New Roman"/>
        </w:rPr>
        <w:t>all such data, reports, information and documentation</w:t>
      </w:r>
      <w:r>
        <w:rPr>
          <w:rFonts w:ascii="Times New Roman" w:hAnsi="Times New Roman" w:cs="Times New Roman"/>
        </w:rPr>
        <w:t xml:space="preserve"> that are necessary for the ASEAN Joint Assessment procedure</w:t>
      </w:r>
      <w:r w:rsidRPr="00D970F6">
        <w:rPr>
          <w:rFonts w:ascii="Times New Roman" w:hAnsi="Times New Roman" w:cs="Times New Roman"/>
        </w:rPr>
        <w:t>.</w:t>
      </w:r>
    </w:p>
    <w:p w:rsidR="00A63500" w:rsidRPr="00D970F6" w:rsidRDefault="00A63500" w:rsidP="00AB6888">
      <w:pPr>
        <w:pStyle w:val="para2"/>
        <w:rPr>
          <w:rFonts w:ascii="Times New Roman" w:hAnsi="Times New Roman" w:cs="Times New Roman"/>
          <w:sz w:val="13"/>
          <w:szCs w:val="13"/>
        </w:rPr>
      </w:pPr>
      <w:r w:rsidRPr="00D970F6">
        <w:rPr>
          <w:rFonts w:ascii="Times New Roman" w:hAnsi="Times New Roman" w:cs="Times New Roman"/>
        </w:rPr>
        <w:t>As regards sharing the outcomes of assessments and inspections, only data owned by the WHO prequalification holder are shared. Sharing of any other data is subject to additional agreement of the data owners concerned.</w:t>
      </w:r>
      <w:r w:rsidRPr="00D970F6">
        <w:rPr>
          <w:rStyle w:val="FootnoteReference"/>
          <w:rFonts w:cs="Times New Roman"/>
        </w:rPr>
        <w:footnoteReference w:id="15"/>
      </w:r>
    </w:p>
    <w:p w:rsidR="00A63500" w:rsidRPr="00D970F6" w:rsidRDefault="00A63500" w:rsidP="00AB6888">
      <w:pPr>
        <w:pStyle w:val="Heading3"/>
        <w:keepNext w:val="0"/>
        <w:spacing w:before="120"/>
        <w:jc w:val="both"/>
        <w:rPr>
          <w:rFonts w:ascii="Times New Roman" w:hAnsi="Times New Roman" w:cs="Times New Roman"/>
        </w:rPr>
      </w:pPr>
      <w:r w:rsidRPr="00D970F6">
        <w:rPr>
          <w:rFonts w:ascii="Times New Roman" w:hAnsi="Times New Roman" w:cs="Times New Roman"/>
        </w:rPr>
        <w:t xml:space="preserve">Product details: </w:t>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INN(s):</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Dosage form and strength: </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Packaging: </w:t>
      </w:r>
      <w:r w:rsidRPr="00D970F6">
        <w:rPr>
          <w:rFonts w:ascii="Times New Roman" w:hAnsi="Times New Roman" w:cs="Times New Roman"/>
        </w:rPr>
        <w:tab/>
      </w:r>
    </w:p>
    <w:p w:rsidR="00A63500" w:rsidRPr="00D970F6" w:rsidRDefault="00A63500" w:rsidP="00AB6888">
      <w:pPr>
        <w:pStyle w:val="tbs"/>
        <w:ind w:left="567" w:hanging="283"/>
        <w:jc w:val="both"/>
        <w:rPr>
          <w:rFonts w:ascii="Times New Roman" w:hAnsi="Times New Roman" w:cs="Times New Roman"/>
        </w:rPr>
      </w:pPr>
      <w:r w:rsidRPr="00D970F6">
        <w:rPr>
          <w:rFonts w:ascii="Times New Roman" w:hAnsi="Times New Roman" w:cs="Times New Roman"/>
        </w:rPr>
        <w:t>Detailed</w:t>
      </w:r>
      <w:r w:rsidRPr="00D970F6">
        <w:rPr>
          <w:rStyle w:val="FootnoteReference"/>
          <w:rFonts w:cs="Times New Roman"/>
        </w:rPr>
        <w:footnoteReference w:id="16"/>
      </w:r>
      <w:r w:rsidRPr="00D970F6">
        <w:rPr>
          <w:rFonts w:ascii="Times New Roman" w:hAnsi="Times New Roman" w:cs="Times New Roman"/>
        </w:rPr>
        <w:t xml:space="preserve"> address of manufacturing site(s): </w:t>
      </w:r>
      <w:r w:rsidRPr="00D970F6">
        <w:rPr>
          <w:rFonts w:ascii="Times New Roman" w:hAnsi="Times New Roman" w:cs="Times New Roman"/>
        </w:rPr>
        <w:tab/>
      </w:r>
    </w:p>
    <w:p w:rsidR="00A63500" w:rsidRPr="00D970F6" w:rsidRDefault="00A63500" w:rsidP="00AB6888">
      <w:pPr>
        <w:pStyle w:val="tbs"/>
        <w:ind w:left="284"/>
        <w:jc w:val="both"/>
        <w:rPr>
          <w:rFonts w:ascii="Times New Roman" w:hAnsi="Times New Roman" w:cs="Times New Roman"/>
        </w:rPr>
      </w:pPr>
      <w:r w:rsidRPr="00D970F6">
        <w:rPr>
          <w:rFonts w:ascii="Times New Roman" w:hAnsi="Times New Roman" w:cs="Times New Roman"/>
        </w:rPr>
        <w:t xml:space="preserve">Brand name, if applicable: </w:t>
      </w:r>
      <w:r w:rsidRPr="00D970F6">
        <w:rPr>
          <w:rFonts w:ascii="Times New Roman" w:hAnsi="Times New Roman" w:cs="Times New Roman"/>
        </w:rPr>
        <w:tab/>
      </w:r>
    </w:p>
    <w:p w:rsidR="00A63500" w:rsidRPr="00D970F6" w:rsidRDefault="00A63500" w:rsidP="00AB6888">
      <w:pPr>
        <w:pStyle w:val="Heading3"/>
        <w:jc w:val="both"/>
        <w:rPr>
          <w:rFonts w:ascii="Times New Roman" w:hAnsi="Times New Roman" w:cs="Times New Roman"/>
        </w:rPr>
      </w:pPr>
      <w:r w:rsidRPr="00D970F6">
        <w:rPr>
          <w:rFonts w:ascii="Times New Roman" w:hAnsi="Times New Roman" w:cs="Times New Roman"/>
        </w:rPr>
        <w:t>WHO prequalification details:</w:t>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WHO prequalification reference number: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Date of prequalification (dd/mm/yyyy):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Date of requalification (if applicable):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sz w:val="13"/>
          <w:szCs w:val="13"/>
        </w:rPr>
      </w:pPr>
      <w:r w:rsidRPr="00D970F6">
        <w:rPr>
          <w:rFonts w:ascii="Times New Roman" w:hAnsi="Times New Roman" w:cs="Times New Roman"/>
        </w:rPr>
        <w:t xml:space="preserve">WHO prequalification holder: </w:t>
      </w:r>
      <w:r w:rsidRPr="00D970F6">
        <w:rPr>
          <w:rFonts w:ascii="Times New Roman" w:hAnsi="Times New Roman" w:cs="Times New Roman"/>
        </w:rPr>
        <w:tab/>
      </w:r>
    </w:p>
    <w:p w:rsidR="00465B7A" w:rsidRDefault="00465B7A" w:rsidP="00AB6888">
      <w:pPr>
        <w:pStyle w:val="Heading3"/>
        <w:jc w:val="both"/>
        <w:rPr>
          <w:rFonts w:ascii="Times New Roman" w:hAnsi="Times New Roman" w:cs="Times New Roman"/>
        </w:rPr>
      </w:pPr>
    </w:p>
    <w:p w:rsidR="00465B7A" w:rsidRPr="00465B7A" w:rsidRDefault="00465B7A" w:rsidP="00465B7A">
      <w:pPr>
        <w:rPr>
          <w:lang w:val="en-US"/>
        </w:rPr>
      </w:pPr>
    </w:p>
    <w:p w:rsidR="00A63500" w:rsidRPr="00D970F6" w:rsidRDefault="00A63500" w:rsidP="00AB6888">
      <w:pPr>
        <w:pStyle w:val="Heading3"/>
        <w:jc w:val="both"/>
        <w:rPr>
          <w:rFonts w:ascii="Times New Roman" w:hAnsi="Times New Roman" w:cs="Times New Roman"/>
        </w:rPr>
      </w:pPr>
      <w:r w:rsidRPr="00D970F6">
        <w:rPr>
          <w:rFonts w:ascii="Times New Roman" w:hAnsi="Times New Roman" w:cs="Times New Roman"/>
        </w:rPr>
        <w:lastRenderedPageBreak/>
        <w:t xml:space="preserve">Applicant details: </w:t>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Applicant: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Address: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ab/>
      </w:r>
    </w:p>
    <w:p w:rsidR="00A63500" w:rsidRPr="00D970F6" w:rsidRDefault="00862B9D" w:rsidP="00AB6888">
      <w:pPr>
        <w:pStyle w:val="tbs"/>
        <w:jc w:val="both"/>
        <w:rPr>
          <w:rFonts w:ascii="Times New Roman" w:hAnsi="Times New Roman" w:cs="Times New Roman"/>
        </w:rPr>
      </w:pPr>
      <w:r>
        <w:rPr>
          <w:rFonts w:ascii="Times New Roman" w:hAnsi="Times New Roman" w:cs="Times New Roman"/>
        </w:rPr>
        <w:t>E</w:t>
      </w:r>
      <w:r w:rsidR="00A63500" w:rsidRPr="00D970F6">
        <w:rPr>
          <w:rFonts w:ascii="Times New Roman" w:hAnsi="Times New Roman" w:cs="Times New Roman"/>
        </w:rPr>
        <w:t xml:space="preserve">mail: </w:t>
      </w:r>
      <w:r w:rsidR="00A63500"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Phone: </w:t>
      </w:r>
      <w:r w:rsidRPr="00D970F6">
        <w:rPr>
          <w:rFonts w:ascii="Times New Roman" w:hAnsi="Times New Roman" w:cs="Times New Roman"/>
        </w:rPr>
        <w:tab/>
      </w:r>
    </w:p>
    <w:p w:rsidR="00A63500" w:rsidRPr="00D970F6" w:rsidRDefault="00A63500" w:rsidP="00AB6888">
      <w:pPr>
        <w:autoSpaceDE w:val="0"/>
        <w:autoSpaceDN w:val="0"/>
        <w:adjustRightInd w:val="0"/>
        <w:spacing w:after="0"/>
        <w:jc w:val="both"/>
        <w:rPr>
          <w:rFonts w:ascii="Times New Roman" w:hAnsi="Times New Roman" w:cs="Times New Roman"/>
          <w:color w:val="000000"/>
          <w:sz w:val="24"/>
          <w:szCs w:val="24"/>
        </w:rPr>
      </w:pPr>
    </w:p>
    <w:p w:rsidR="00A63500" w:rsidRPr="00D970F6" w:rsidRDefault="00A63500" w:rsidP="00AB6888">
      <w:pPr>
        <w:autoSpaceDE w:val="0"/>
        <w:autoSpaceDN w:val="0"/>
        <w:adjustRightInd w:val="0"/>
        <w:spacing w:after="0"/>
        <w:jc w:val="both"/>
        <w:rPr>
          <w:rFonts w:ascii="Times New Roman" w:hAnsi="Times New Roman" w:cs="Times New Roman"/>
          <w:color w:val="000000"/>
          <w:sz w:val="24"/>
          <w:szCs w:val="24"/>
        </w:rPr>
      </w:pPr>
    </w:p>
    <w:p w:rsidR="00A63500" w:rsidRDefault="00A63500" w:rsidP="00AB6888">
      <w:pPr>
        <w:autoSpaceDE w:val="0"/>
        <w:autoSpaceDN w:val="0"/>
        <w:adjustRightInd w:val="0"/>
        <w:spacing w:after="0"/>
        <w:jc w:val="both"/>
        <w:rPr>
          <w:rFonts w:ascii="Times New Roman" w:hAnsi="Times New Roman" w:cs="Times New Roman"/>
          <w:color w:val="000000"/>
          <w:sz w:val="24"/>
          <w:szCs w:val="24"/>
        </w:rPr>
      </w:pPr>
      <w:r w:rsidRPr="00D970F6">
        <w:rPr>
          <w:rFonts w:ascii="Times New Roman" w:hAnsi="Times New Roman" w:cs="Times New Roman"/>
          <w:color w:val="000000"/>
          <w:sz w:val="24"/>
          <w:szCs w:val="24"/>
        </w:rPr>
        <w:t>For the WHO prequalification holder</w:t>
      </w:r>
    </w:p>
    <w:p w:rsidR="00465B7A" w:rsidRPr="00D970F6" w:rsidRDefault="00465B7A" w:rsidP="00AB6888">
      <w:pPr>
        <w:autoSpaceDE w:val="0"/>
        <w:autoSpaceDN w:val="0"/>
        <w:adjustRightInd w:val="0"/>
        <w:spacing w:after="0"/>
        <w:jc w:val="both"/>
        <w:rPr>
          <w:rFonts w:ascii="Times New Roman" w:hAnsi="Times New Roman" w:cs="Times New Roman"/>
          <w:color w:val="000000"/>
          <w:sz w:val="24"/>
          <w:szCs w:val="24"/>
        </w:rPr>
      </w:pP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Signature: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Name: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Title: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Place:  </w:t>
      </w:r>
      <w:r w:rsidRPr="00D970F6">
        <w:rPr>
          <w:rFonts w:ascii="Times New Roman" w:hAnsi="Times New Roman" w:cs="Times New Roman"/>
        </w:rPr>
        <w:tab/>
      </w:r>
    </w:p>
    <w:p w:rsidR="00A63500" w:rsidRPr="00D970F6" w:rsidRDefault="00A63500" w:rsidP="00AB6888">
      <w:pPr>
        <w:pStyle w:val="tbs"/>
        <w:jc w:val="both"/>
        <w:rPr>
          <w:rFonts w:ascii="Times New Roman" w:hAnsi="Times New Roman" w:cs="Times New Roman"/>
        </w:rPr>
      </w:pPr>
      <w:r w:rsidRPr="00D970F6">
        <w:rPr>
          <w:rFonts w:ascii="Times New Roman" w:hAnsi="Times New Roman" w:cs="Times New Roman"/>
        </w:rPr>
        <w:t xml:space="preserve">Date (dd/mm/yyyy):  </w:t>
      </w:r>
      <w:r w:rsidRPr="00D970F6">
        <w:rPr>
          <w:rFonts w:ascii="Times New Roman" w:hAnsi="Times New Roman" w:cs="Times New Roman"/>
        </w:rPr>
        <w:tab/>
      </w:r>
    </w:p>
    <w:p w:rsidR="00A63500" w:rsidRPr="00D970F6" w:rsidRDefault="00A63500" w:rsidP="00AB6888">
      <w:pPr>
        <w:autoSpaceDE w:val="0"/>
        <w:autoSpaceDN w:val="0"/>
        <w:adjustRightInd w:val="0"/>
        <w:spacing w:after="0"/>
        <w:jc w:val="both"/>
        <w:rPr>
          <w:rFonts w:ascii="Times New Roman" w:hAnsi="Times New Roman" w:cs="Times New Roman"/>
          <w:color w:val="000000"/>
          <w:sz w:val="18"/>
          <w:szCs w:val="18"/>
        </w:rPr>
      </w:pPr>
    </w:p>
    <w:p w:rsidR="00A63500" w:rsidRPr="00D970F6" w:rsidRDefault="00A63500" w:rsidP="00AB6888">
      <w:pPr>
        <w:jc w:val="both"/>
        <w:rPr>
          <w:rFonts w:ascii="Times New Roman" w:hAnsi="Times New Roman" w:cs="Times New Roman"/>
        </w:rPr>
      </w:pPr>
    </w:p>
    <w:p w:rsidR="00A63500" w:rsidRDefault="00A63500" w:rsidP="00AB6888">
      <w:pPr>
        <w:jc w:val="both"/>
        <w:sectPr w:rsidR="00A63500" w:rsidSect="00A63500">
          <w:headerReference w:type="default" r:id="rId12"/>
          <w:footnotePr>
            <w:numRestart w:val="eachSect"/>
          </w:footnotePr>
          <w:type w:val="continuous"/>
          <w:pgSz w:w="11907" w:h="16839" w:code="9"/>
          <w:pgMar w:top="1440" w:right="1440" w:bottom="1440" w:left="1440" w:header="720" w:footer="720" w:gutter="0"/>
          <w:cols w:space="720"/>
          <w:docGrid w:linePitch="360"/>
        </w:sectPr>
      </w:pPr>
    </w:p>
    <w:p w:rsidR="00A63500" w:rsidRDefault="00A63500" w:rsidP="00AB6888">
      <w:pPr>
        <w:jc w:val="both"/>
        <w:rPr>
          <w:rFonts w:ascii="Times New Roman" w:hAnsi="Times New Roman" w:cs="Times New Roman"/>
          <w:b/>
          <w:bCs/>
          <w:color w:val="000000"/>
          <w:sz w:val="32"/>
          <w:szCs w:val="32"/>
          <w:lang w:val="en-US"/>
        </w:rPr>
      </w:pPr>
    </w:p>
    <w:sectPr w:rsidR="00A63500" w:rsidSect="00A63500">
      <w:headerReference w:type="default" r:id="rId13"/>
      <w:footnotePr>
        <w:numRestart w:val="eachSect"/>
      </w:footnotePr>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515" w:rsidRDefault="00CB3515" w:rsidP="004147E2">
      <w:pPr>
        <w:spacing w:after="0" w:line="240" w:lineRule="auto"/>
      </w:pPr>
      <w:r>
        <w:separator/>
      </w:r>
    </w:p>
  </w:endnote>
  <w:endnote w:type="continuationSeparator" w:id="1">
    <w:p w:rsidR="00CB3515" w:rsidRDefault="00CB3515" w:rsidP="00414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MyriadPro-Bold">
    <w:panose1 w:val="00000000000000000000"/>
    <w:charset w:val="00"/>
    <w:family w:val="swiss"/>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MyriadPro-SemiboldSemi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928969"/>
      <w:docPartObj>
        <w:docPartGallery w:val="Page Numbers (Bottom of Page)"/>
        <w:docPartUnique/>
      </w:docPartObj>
    </w:sdtPr>
    <w:sdtEndPr>
      <w:rPr>
        <w:noProof/>
      </w:rPr>
    </w:sdtEndPr>
    <w:sdtContent>
      <w:p w:rsidR="00640E88" w:rsidRDefault="00182EBB">
        <w:pPr>
          <w:pStyle w:val="Footer"/>
          <w:jc w:val="right"/>
        </w:pPr>
        <w:r>
          <w:fldChar w:fldCharType="begin"/>
        </w:r>
        <w:r w:rsidR="00640E88">
          <w:instrText xml:space="preserve"> PAGE   \* MERGEFORMAT </w:instrText>
        </w:r>
        <w:r>
          <w:fldChar w:fldCharType="separate"/>
        </w:r>
        <w:r w:rsidR="00EA3246">
          <w:rPr>
            <w:noProof/>
          </w:rPr>
          <w:t>7</w:t>
        </w:r>
        <w:r>
          <w:rPr>
            <w:noProof/>
          </w:rPr>
          <w:fldChar w:fldCharType="end"/>
        </w:r>
      </w:p>
    </w:sdtContent>
  </w:sdt>
  <w:p w:rsidR="00640E88" w:rsidRDefault="00640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515" w:rsidRDefault="00CB3515" w:rsidP="004147E2">
      <w:pPr>
        <w:spacing w:after="0" w:line="240" w:lineRule="auto"/>
      </w:pPr>
      <w:r>
        <w:separator/>
      </w:r>
    </w:p>
  </w:footnote>
  <w:footnote w:type="continuationSeparator" w:id="1">
    <w:p w:rsidR="00CB3515" w:rsidRDefault="00CB3515" w:rsidP="004147E2">
      <w:pPr>
        <w:spacing w:after="0" w:line="240" w:lineRule="auto"/>
      </w:pPr>
      <w:r>
        <w:continuationSeparator/>
      </w:r>
    </w:p>
  </w:footnote>
  <w:footnote w:id="2">
    <w:p w:rsidR="001275CA" w:rsidRPr="00A63500" w:rsidRDefault="001275CA" w:rsidP="00FD22B1">
      <w:pPr>
        <w:pStyle w:val="FootnoteText"/>
        <w:rPr>
          <w:rFonts w:ascii="Times New Roman" w:hAnsi="Times New Roman" w:cs="Times New Roman"/>
        </w:rPr>
      </w:pPr>
      <w:r w:rsidRPr="00A63500">
        <w:rPr>
          <w:rStyle w:val="FootnoteReference"/>
          <w:rFonts w:ascii="Times New Roman" w:hAnsi="Times New Roman" w:cs="Times New Roman"/>
        </w:rPr>
        <w:footnoteRef/>
      </w:r>
      <w:r w:rsidRPr="00A63500">
        <w:rPr>
          <w:rFonts w:ascii="Times New Roman" w:hAnsi="Times New Roman" w:cs="Times New Roman"/>
          <w:u w:val="single"/>
        </w:rPr>
        <w:t>Same</w:t>
      </w:r>
      <w:r w:rsidRPr="00A63500">
        <w:rPr>
          <w:rFonts w:ascii="Times New Roman" w:hAnsi="Times New Roman" w:cs="Times New Roman"/>
        </w:rPr>
        <w:t xml:space="preserve"> application refers to the technical content of the application; national administrative parts remain different.</w:t>
      </w:r>
    </w:p>
  </w:footnote>
  <w:footnote w:id="3">
    <w:p w:rsidR="001275CA" w:rsidRPr="00A63500" w:rsidRDefault="001275CA" w:rsidP="00FD22B1">
      <w:pPr>
        <w:pStyle w:val="FootnoteText"/>
        <w:rPr>
          <w:rFonts w:ascii="Times New Roman" w:hAnsi="Times New Roman" w:cs="Times New Roman"/>
        </w:rPr>
      </w:pPr>
      <w:r w:rsidRPr="00A63500">
        <w:rPr>
          <w:rStyle w:val="FootnoteReference"/>
          <w:rFonts w:ascii="Times New Roman" w:hAnsi="Times New Roman" w:cs="Times New Roman"/>
        </w:rPr>
        <w:footnoteRef/>
      </w:r>
      <w:r w:rsidRPr="00A63500">
        <w:rPr>
          <w:rFonts w:ascii="Times New Roman" w:hAnsi="Times New Roman" w:cs="Times New Roman"/>
          <w:u w:val="single"/>
        </w:rPr>
        <w:t>Simultaneously</w:t>
      </w:r>
      <w:r w:rsidRPr="00A63500">
        <w:rPr>
          <w:rFonts w:ascii="Times New Roman" w:hAnsi="Times New Roman" w:cs="Times New Roman"/>
        </w:rPr>
        <w:t xml:space="preserve"> refers to the fact that JA process will not start until applications are received in all participating NRAs.</w:t>
      </w:r>
    </w:p>
  </w:footnote>
  <w:footnote w:id="4">
    <w:p w:rsidR="001275CA" w:rsidRPr="00F002C9" w:rsidRDefault="001275CA" w:rsidP="00A63500">
      <w:pPr>
        <w:pStyle w:val="FootnoteText"/>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rPr>
        <w:t xml:space="preserve"> Names of participating NRAs for each specific eligible product(s) are mentioned in the </w:t>
      </w:r>
      <w:r w:rsidR="00904505">
        <w:rPr>
          <w:rFonts w:ascii="Times New Roman" w:hAnsi="Times New Roman" w:cs="Times New Roman"/>
        </w:rPr>
        <w:t xml:space="preserve">Notice of </w:t>
      </w:r>
      <w:r w:rsidRPr="00F002C9">
        <w:rPr>
          <w:rFonts w:ascii="Times New Roman" w:hAnsi="Times New Roman" w:cs="Times New Roman"/>
        </w:rPr>
        <w:t>Invitation to Express Interest.</w:t>
      </w:r>
    </w:p>
  </w:footnote>
  <w:footnote w:id="5">
    <w:p w:rsidR="001275CA" w:rsidRPr="00F002C9" w:rsidRDefault="001275CA" w:rsidP="00A63500">
      <w:pPr>
        <w:pStyle w:val="FootnoteText"/>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rPr>
        <w:t xml:space="preserve"> Address of manufacturing sites must be detailed enough to identify the exact site. If more than one site is referred to, there should be brief mention of manufacturing phase(s) conducted at each site.</w:t>
      </w:r>
    </w:p>
  </w:footnote>
  <w:footnote w:id="6">
    <w:p w:rsidR="001275CA" w:rsidRPr="00F002C9" w:rsidRDefault="001275CA" w:rsidP="00A63500">
      <w:pPr>
        <w:pStyle w:val="FootnoteText"/>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rPr>
        <w:t xml:space="preserve"> Accepted reference approvals are mentioned in the </w:t>
      </w:r>
      <w:r w:rsidR="00904505">
        <w:rPr>
          <w:rFonts w:ascii="Times New Roman" w:hAnsi="Times New Roman" w:cs="Times New Roman"/>
        </w:rPr>
        <w:t xml:space="preserve">Notice of </w:t>
      </w:r>
      <w:r w:rsidR="00904505" w:rsidRPr="00F002C9">
        <w:rPr>
          <w:rFonts w:ascii="Times New Roman" w:hAnsi="Times New Roman" w:cs="Times New Roman"/>
        </w:rPr>
        <w:t>Invitation to Express Interest</w:t>
      </w:r>
      <w:r w:rsidRPr="00F002C9">
        <w:rPr>
          <w:rFonts w:ascii="Times New Roman" w:hAnsi="Times New Roman" w:cs="Times New Roman"/>
        </w:rPr>
        <w:t xml:space="preserve">.  </w:t>
      </w:r>
    </w:p>
  </w:footnote>
  <w:footnote w:id="7">
    <w:p w:rsidR="001275CA" w:rsidRPr="00F002C9" w:rsidRDefault="001275CA" w:rsidP="00A63500">
      <w:pPr>
        <w:pStyle w:val="FootnoteText"/>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rPr>
        <w:t xml:space="preserve"> Revision refers to renewal, major variation, or other relevant regulatory decision.</w:t>
      </w:r>
    </w:p>
  </w:footnote>
  <w:footnote w:id="8">
    <w:p w:rsidR="001275CA" w:rsidRPr="00F002C9" w:rsidRDefault="001275CA" w:rsidP="00A63500">
      <w:pPr>
        <w:pStyle w:val="FootnoteText"/>
        <w:spacing w:before="40" w:after="40"/>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color w:val="000000"/>
          <w:szCs w:val="18"/>
        </w:rPr>
        <w:t>Same pharmaceutical product means: same product dossier, same manufacturing chain, processes and control of materials, same API and FPP specifications and same essential elements of product information.</w:t>
      </w:r>
    </w:p>
  </w:footnote>
  <w:footnote w:id="9">
    <w:p w:rsidR="001275CA" w:rsidRPr="00F002C9" w:rsidRDefault="001275CA" w:rsidP="00A63500">
      <w:pPr>
        <w:autoSpaceDE w:val="0"/>
        <w:autoSpaceDN w:val="0"/>
        <w:adjustRightInd w:val="0"/>
        <w:spacing w:before="40" w:after="40" w:line="240" w:lineRule="auto"/>
        <w:rPr>
          <w:rFonts w:ascii="Times New Roman" w:hAnsi="Times New Roman" w:cs="Times New Roman"/>
          <w:color w:val="000000"/>
          <w:sz w:val="18"/>
          <w:szCs w:val="18"/>
        </w:rPr>
      </w:pPr>
      <w:r w:rsidRPr="00F002C9">
        <w:rPr>
          <w:rStyle w:val="FootnoteReference"/>
          <w:rFonts w:cs="Times New Roman"/>
        </w:rPr>
        <w:footnoteRef/>
      </w:r>
      <w:r w:rsidRPr="004C17B0">
        <w:rPr>
          <w:rFonts w:ascii="Times New Roman" w:hAnsi="Times New Roman" w:cs="Times New Roman"/>
          <w:color w:val="000000"/>
          <w:sz w:val="20"/>
          <w:szCs w:val="18"/>
        </w:rPr>
        <w:t>Technical data included in the dossier must be the same. There may be country-specific differences in administrative data. Additional technical data can be provided (e.g. bioequivalence with a country-specific comparator).</w:t>
      </w:r>
    </w:p>
  </w:footnote>
  <w:footnote w:id="10">
    <w:p w:rsidR="001275CA" w:rsidRPr="00F002C9" w:rsidRDefault="001275CA" w:rsidP="00A63500">
      <w:pPr>
        <w:pStyle w:val="FootnoteText"/>
        <w:spacing w:before="40" w:after="40"/>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color w:val="000000"/>
          <w:szCs w:val="18"/>
        </w:rPr>
        <w:t>Non-essential differences include differences in administrative information, brand name, name of applicant, format of product information, level of detail of product information, labelling of internal and external packaging, and language of product information.</w:t>
      </w:r>
    </w:p>
  </w:footnote>
  <w:footnote w:id="11">
    <w:p w:rsidR="001275CA" w:rsidRPr="00F002C9" w:rsidRDefault="001275CA" w:rsidP="00A63500">
      <w:pPr>
        <w:pStyle w:val="FootnoteText"/>
        <w:spacing w:before="40" w:after="40"/>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color w:val="000000"/>
          <w:szCs w:val="18"/>
        </w:rPr>
        <w:t>If the applicant for national registration is not the same as the WHO prequalification holder, then the authorization to WHO/PQP must be provided by the WHO prequalification holder or their legal representative.</w:t>
      </w:r>
    </w:p>
  </w:footnote>
  <w:footnote w:id="12">
    <w:p w:rsidR="001275CA" w:rsidRPr="00D970F6" w:rsidRDefault="001275CA" w:rsidP="00A63500">
      <w:pPr>
        <w:pStyle w:val="FootnoteText"/>
        <w:spacing w:before="40" w:after="40"/>
        <w:rPr>
          <w:rFonts w:ascii="Times New Roman" w:hAnsi="Times New Roman" w:cs="Times New Roman"/>
        </w:rPr>
      </w:pPr>
      <w:r w:rsidRPr="00D970F6">
        <w:rPr>
          <w:rStyle w:val="FootnoteReference"/>
          <w:rFonts w:cs="Times New Roman"/>
        </w:rPr>
        <w:footnoteRef/>
      </w:r>
      <w:r>
        <w:rPr>
          <w:rFonts w:ascii="Times New Roman" w:hAnsi="Times New Roman" w:cs="Times New Roman"/>
          <w:color w:val="000000"/>
          <w:szCs w:val="18"/>
        </w:rPr>
        <w:t xml:space="preserve">If </w:t>
      </w:r>
      <w:r w:rsidRPr="00D970F6">
        <w:rPr>
          <w:rFonts w:ascii="Times New Roman" w:hAnsi="Times New Roman" w:cs="Times New Roman"/>
          <w:color w:val="000000"/>
          <w:szCs w:val="18"/>
        </w:rPr>
        <w:t xml:space="preserve">certain data </w:t>
      </w:r>
      <w:r>
        <w:rPr>
          <w:rFonts w:ascii="Times New Roman" w:hAnsi="Times New Roman" w:cs="Times New Roman"/>
          <w:color w:val="000000"/>
          <w:szCs w:val="18"/>
        </w:rPr>
        <w:t xml:space="preserve">do not belong to </w:t>
      </w:r>
      <w:r w:rsidRPr="00D970F6">
        <w:rPr>
          <w:rFonts w:ascii="Times New Roman" w:hAnsi="Times New Roman" w:cs="Times New Roman"/>
          <w:color w:val="000000"/>
          <w:szCs w:val="18"/>
        </w:rPr>
        <w:t>the WHO prequalification holder, the WHO prequalification holder specifies such data in an annex to this declaration of consent.</w:t>
      </w:r>
      <w:r>
        <w:rPr>
          <w:rFonts w:ascii="Times New Roman" w:hAnsi="Times New Roman" w:cs="Times New Roman"/>
          <w:color w:val="000000"/>
          <w:szCs w:val="18"/>
        </w:rPr>
        <w:t xml:space="preserve"> If applicable, the WHO Prequalification holder will submit letters issued by data owns authorizing the use of the data in the ASEAN Joint Assessment procedure.</w:t>
      </w:r>
    </w:p>
  </w:footnote>
  <w:footnote w:id="13">
    <w:p w:rsidR="001275CA" w:rsidRPr="00D970F6" w:rsidRDefault="001275CA" w:rsidP="00A63500">
      <w:pPr>
        <w:pStyle w:val="FootnoteText"/>
        <w:rPr>
          <w:rFonts w:ascii="Times New Roman" w:hAnsi="Times New Roman" w:cs="Times New Roman"/>
        </w:rPr>
      </w:pPr>
      <w:r w:rsidRPr="00D970F6">
        <w:rPr>
          <w:rStyle w:val="FootnoteReference"/>
          <w:rFonts w:cs="Times New Roman"/>
        </w:rPr>
        <w:footnoteRef/>
      </w:r>
      <w:r w:rsidRPr="00D970F6">
        <w:rPr>
          <w:rFonts w:ascii="Times New Roman" w:hAnsi="Times New Roman" w:cs="Times New Roman"/>
        </w:rPr>
        <w:t xml:space="preserve"> Address of manufacturing sites must be detailed enough to identify the exact site. If more than one site is referred to, there should be brief mention of manufacturing phase(s) conducted at each site.</w:t>
      </w:r>
    </w:p>
  </w:footnote>
  <w:footnote w:id="14">
    <w:p w:rsidR="001275CA" w:rsidRPr="00F002C9" w:rsidRDefault="001275CA" w:rsidP="00A63500">
      <w:pPr>
        <w:pStyle w:val="FootnoteText"/>
        <w:rPr>
          <w:rFonts w:ascii="Times New Roman" w:hAnsi="Times New Roman" w:cs="Times New Roman"/>
        </w:rPr>
      </w:pPr>
      <w:r w:rsidRPr="00F002C9">
        <w:rPr>
          <w:rStyle w:val="FootnoteReference"/>
          <w:rFonts w:cs="Times New Roman"/>
        </w:rPr>
        <w:footnoteRef/>
      </w:r>
      <w:r w:rsidRPr="00F002C9">
        <w:rPr>
          <w:rFonts w:ascii="Times New Roman" w:hAnsi="Times New Roman" w:cs="Times New Roman"/>
        </w:rPr>
        <w:t xml:space="preserve"> Revision refers to renewal, major variation, or other relevant regulatory decision.</w:t>
      </w:r>
    </w:p>
  </w:footnote>
  <w:footnote w:id="15">
    <w:p w:rsidR="001275CA" w:rsidRPr="00D970F6" w:rsidRDefault="001275CA" w:rsidP="00A63500">
      <w:pPr>
        <w:pStyle w:val="FootnoteText"/>
        <w:spacing w:before="40" w:after="40"/>
        <w:rPr>
          <w:rFonts w:ascii="Times New Roman" w:hAnsi="Times New Roman" w:cs="Times New Roman"/>
        </w:rPr>
      </w:pPr>
      <w:r w:rsidRPr="00D970F6">
        <w:rPr>
          <w:rStyle w:val="FootnoteReference"/>
          <w:rFonts w:cs="Times New Roman"/>
        </w:rPr>
        <w:footnoteRef/>
      </w:r>
      <w:r>
        <w:rPr>
          <w:rFonts w:ascii="Times New Roman" w:hAnsi="Times New Roman" w:cs="Times New Roman"/>
          <w:color w:val="000000"/>
          <w:szCs w:val="18"/>
        </w:rPr>
        <w:t xml:space="preserve">If </w:t>
      </w:r>
      <w:r w:rsidRPr="00D970F6">
        <w:rPr>
          <w:rFonts w:ascii="Times New Roman" w:hAnsi="Times New Roman" w:cs="Times New Roman"/>
          <w:color w:val="000000"/>
          <w:szCs w:val="18"/>
        </w:rPr>
        <w:t xml:space="preserve">certain data </w:t>
      </w:r>
      <w:r>
        <w:rPr>
          <w:rFonts w:ascii="Times New Roman" w:hAnsi="Times New Roman" w:cs="Times New Roman"/>
          <w:color w:val="000000"/>
          <w:szCs w:val="18"/>
        </w:rPr>
        <w:t xml:space="preserve">do not belong to </w:t>
      </w:r>
      <w:r w:rsidRPr="00D970F6">
        <w:rPr>
          <w:rFonts w:ascii="Times New Roman" w:hAnsi="Times New Roman" w:cs="Times New Roman"/>
          <w:color w:val="000000"/>
          <w:szCs w:val="18"/>
        </w:rPr>
        <w:t>the WHO prequalification holder, the WHO prequalification holder specifies such data in an annex to this declaration of consent.</w:t>
      </w:r>
      <w:r>
        <w:rPr>
          <w:rFonts w:ascii="Times New Roman" w:hAnsi="Times New Roman" w:cs="Times New Roman"/>
          <w:color w:val="000000"/>
          <w:szCs w:val="18"/>
        </w:rPr>
        <w:t xml:space="preserve"> If applicable, the WHO Prequalification holder will submit letters issued by data owns authorizing the use of the data in the ASEAN Joint Assessment procedure.</w:t>
      </w:r>
    </w:p>
  </w:footnote>
  <w:footnote w:id="16">
    <w:p w:rsidR="001275CA" w:rsidRPr="00D970F6" w:rsidRDefault="001275CA" w:rsidP="00A63500">
      <w:pPr>
        <w:pStyle w:val="FootnoteText"/>
        <w:rPr>
          <w:rFonts w:ascii="Times New Roman" w:hAnsi="Times New Roman" w:cs="Times New Roman"/>
        </w:rPr>
      </w:pPr>
      <w:r w:rsidRPr="00D970F6">
        <w:rPr>
          <w:rStyle w:val="FootnoteReference"/>
          <w:rFonts w:cs="Times New Roman"/>
        </w:rPr>
        <w:footnoteRef/>
      </w:r>
      <w:r w:rsidRPr="00D970F6">
        <w:rPr>
          <w:rFonts w:ascii="Times New Roman" w:hAnsi="Times New Roman" w:cs="Times New Roman"/>
        </w:rPr>
        <w:t xml:space="preserve"> Address of manufacturing sites must be detailed enough to identify the exact site. If more than one site is referred to, there should be brief mention of manufacturing phase(s) conducted at each 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32" w:rsidRPr="008E1EAA" w:rsidRDefault="00C40932" w:rsidP="008E1EAA">
    <w:pPr>
      <w:spacing w:after="0" w:line="240" w:lineRule="auto"/>
      <w:jc w:val="right"/>
      <w:rPr>
        <w:rFonts w:ascii="Times New Roman" w:hAnsi="Times New Roman" w:cs="Times New Roman"/>
      </w:rPr>
    </w:pPr>
    <w:r w:rsidRPr="008E1EAA">
      <w:rPr>
        <w:rFonts w:ascii="Times New Roman" w:hAnsi="Times New Roman" w:cs="Times New Roman"/>
      </w:rPr>
      <w:t xml:space="preserve">ASEAN Joint Assessments: information for applicants </w:t>
    </w:r>
  </w:p>
  <w:p w:rsidR="00C40932" w:rsidRPr="008E1EAA" w:rsidRDefault="00C40932" w:rsidP="008E1EAA">
    <w:pPr>
      <w:pStyle w:val="Header"/>
      <w:jc w:val="right"/>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A" w:rsidRPr="00C40932" w:rsidRDefault="00C40932" w:rsidP="00A03865">
    <w:pPr>
      <w:pStyle w:val="Header"/>
      <w:jc w:val="right"/>
      <w:rPr>
        <w:rFonts w:ascii="Times New Roman" w:hAnsi="Times New Roman" w:cs="Times New Roman"/>
      </w:rPr>
    </w:pPr>
    <w:r w:rsidRPr="008E1EAA">
      <w:rPr>
        <w:rFonts w:ascii="Times New Roman" w:hAnsi="Times New Roman" w:cs="Times New Roman"/>
      </w:rPr>
      <w:t xml:space="preserve">ASEAN Joint Assessments: information for applicants </w:t>
    </w:r>
    <w:r>
      <w:rPr>
        <w:rFonts w:ascii="Times New Roman" w:hAnsi="Times New Roman" w:cs="Times New Roman"/>
      </w:rPr>
      <w:t xml:space="preserve">- </w:t>
    </w:r>
    <w:r w:rsidR="001275CA" w:rsidRPr="00C40932">
      <w:rPr>
        <w:rFonts w:ascii="Times New Roman" w:hAnsi="Times New Roman" w:cs="Times New Roman"/>
      </w:rPr>
      <w:t>Annex 1a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A" w:rsidRPr="00C40932" w:rsidRDefault="00C40932" w:rsidP="00A03865">
    <w:pPr>
      <w:pStyle w:val="Header"/>
      <w:jc w:val="right"/>
      <w:rPr>
        <w:rFonts w:ascii="Times New Roman" w:hAnsi="Times New Roman" w:cs="Times New Roman"/>
      </w:rPr>
    </w:pPr>
    <w:r w:rsidRPr="008E1EAA">
      <w:rPr>
        <w:rFonts w:ascii="Times New Roman" w:hAnsi="Times New Roman" w:cs="Times New Roman"/>
      </w:rPr>
      <w:t xml:space="preserve">ASEAN Joint Assessments: information for applicants </w:t>
    </w:r>
    <w:r>
      <w:rPr>
        <w:rFonts w:ascii="Times New Roman" w:hAnsi="Times New Roman" w:cs="Times New Roman"/>
      </w:rPr>
      <w:t xml:space="preserve">- </w:t>
    </w:r>
    <w:r w:rsidR="001275CA" w:rsidRPr="00C40932">
      <w:rPr>
        <w:rFonts w:ascii="Times New Roman" w:hAnsi="Times New Roman" w:cs="Times New Roman"/>
      </w:rPr>
      <w:t>Annex 2a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A" w:rsidRPr="00C40932" w:rsidRDefault="00C40932" w:rsidP="00A03865">
    <w:pPr>
      <w:pStyle w:val="Header"/>
      <w:jc w:val="right"/>
      <w:rPr>
        <w:rFonts w:ascii="Times New Roman" w:hAnsi="Times New Roman" w:cs="Times New Roman"/>
      </w:rPr>
    </w:pPr>
    <w:r w:rsidRPr="008E1EAA">
      <w:rPr>
        <w:rFonts w:ascii="Times New Roman" w:hAnsi="Times New Roman" w:cs="Times New Roman"/>
      </w:rPr>
      <w:t xml:space="preserve">ASEAN Joint Assessments: information for applicants </w:t>
    </w:r>
    <w:r>
      <w:rPr>
        <w:rFonts w:ascii="Times New Roman" w:hAnsi="Times New Roman" w:cs="Times New Roman"/>
      </w:rPr>
      <w:t xml:space="preserve">- </w:t>
    </w:r>
    <w:r w:rsidR="001275CA" w:rsidRPr="00C40932">
      <w:rPr>
        <w:rFonts w:ascii="Times New Roman" w:hAnsi="Times New Roman" w:cs="Times New Roman"/>
      </w:rPr>
      <w:t>Annex 2b</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5CA" w:rsidRPr="00A03865" w:rsidRDefault="001275CA" w:rsidP="00A03865">
    <w:pPr>
      <w:pStyle w:val="Header"/>
      <w:jc w:val="right"/>
    </w:pPr>
    <w:r>
      <w:rPr>
        <w:rFonts w:ascii="Times New Roman" w:hAnsi="Times New Roman" w:cs="Times New Roman"/>
        <w:sz w:val="28"/>
      </w:rPr>
      <w:t>Annex 3b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BFE"/>
    <w:multiLevelType w:val="hybridMultilevel"/>
    <w:tmpl w:val="9306F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7D28CF"/>
    <w:multiLevelType w:val="hybridMultilevel"/>
    <w:tmpl w:val="9C8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97E20"/>
    <w:multiLevelType w:val="hybridMultilevel"/>
    <w:tmpl w:val="B142C0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EFE78AC"/>
    <w:multiLevelType w:val="hybridMultilevel"/>
    <w:tmpl w:val="4966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2017DE"/>
    <w:multiLevelType w:val="hybridMultilevel"/>
    <w:tmpl w:val="55EEE9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CD5311"/>
    <w:multiLevelType w:val="hybridMultilevel"/>
    <w:tmpl w:val="0FFCB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1606E00"/>
    <w:multiLevelType w:val="hybridMultilevel"/>
    <w:tmpl w:val="C8AE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F54A8C"/>
    <w:multiLevelType w:val="hybridMultilevel"/>
    <w:tmpl w:val="31F02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AE567EE"/>
    <w:multiLevelType w:val="hybridMultilevel"/>
    <w:tmpl w:val="D5D4C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1882"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313D5"/>
    <w:multiLevelType w:val="hybridMultilevel"/>
    <w:tmpl w:val="32B81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9570792"/>
    <w:multiLevelType w:val="hybridMultilevel"/>
    <w:tmpl w:val="3E769A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584C0A"/>
    <w:multiLevelType w:val="hybridMultilevel"/>
    <w:tmpl w:val="BFDE55B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nsid w:val="6BA02067"/>
    <w:multiLevelType w:val="hybridMultilevel"/>
    <w:tmpl w:val="9976A8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422194E"/>
    <w:multiLevelType w:val="hybridMultilevel"/>
    <w:tmpl w:val="DA7088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75D662C7"/>
    <w:multiLevelType w:val="hybridMultilevel"/>
    <w:tmpl w:val="266C5AC4"/>
    <w:lvl w:ilvl="0" w:tplc="0809000F">
      <w:start w:val="1"/>
      <w:numFmt w:val="decimal"/>
      <w:lvlText w:val="%1."/>
      <w:lvlJc w:val="left"/>
      <w:pPr>
        <w:ind w:left="720" w:hanging="360"/>
      </w:pPr>
      <w:rPr>
        <w:rFonts w:hint="default"/>
      </w:rPr>
    </w:lvl>
    <w:lvl w:ilvl="1" w:tplc="A5F89EAC">
      <w:start w:val="1"/>
      <w:numFmt w:val="lowerLetter"/>
      <w:lvlText w:val="%2)"/>
      <w:lvlJc w:val="left"/>
      <w:pPr>
        <w:ind w:left="1440" w:hanging="360"/>
      </w:pPr>
      <w:rPr>
        <w:rFonts w:ascii="Times New Roman" w:eastAsia="MS Mincho"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3"/>
  </w:num>
  <w:num w:numId="5">
    <w:abstractNumId w:val="0"/>
  </w:num>
  <w:num w:numId="6">
    <w:abstractNumId w:val="5"/>
  </w:num>
  <w:num w:numId="7">
    <w:abstractNumId w:val="13"/>
  </w:num>
  <w:num w:numId="8">
    <w:abstractNumId w:val="11"/>
  </w:num>
  <w:num w:numId="9">
    <w:abstractNumId w:val="12"/>
  </w:num>
  <w:num w:numId="10">
    <w:abstractNumId w:val="1"/>
  </w:num>
  <w:num w:numId="11">
    <w:abstractNumId w:val="9"/>
  </w:num>
  <w:num w:numId="12">
    <w:abstractNumId w:val="7"/>
  </w:num>
  <w:num w:numId="13">
    <w:abstractNumId w:val="2"/>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numRestart w:val="eachSect"/>
    <w:footnote w:id="0"/>
    <w:footnote w:id="1"/>
  </w:footnotePr>
  <w:endnotePr>
    <w:endnote w:id="0"/>
    <w:endnote w:id="1"/>
  </w:endnotePr>
  <w:compat/>
  <w:rsids>
    <w:rsidRoot w:val="004147E2"/>
    <w:rsid w:val="000014CC"/>
    <w:rsid w:val="00010D27"/>
    <w:rsid w:val="00012488"/>
    <w:rsid w:val="00016DFF"/>
    <w:rsid w:val="000200B2"/>
    <w:rsid w:val="000368E1"/>
    <w:rsid w:val="000407DA"/>
    <w:rsid w:val="000510E9"/>
    <w:rsid w:val="00074C48"/>
    <w:rsid w:val="000842A1"/>
    <w:rsid w:val="000B27B4"/>
    <w:rsid w:val="000C2E2C"/>
    <w:rsid w:val="000D6D12"/>
    <w:rsid w:val="000D74C3"/>
    <w:rsid w:val="000E48BC"/>
    <w:rsid w:val="000E4F22"/>
    <w:rsid w:val="000F25C5"/>
    <w:rsid w:val="00123232"/>
    <w:rsid w:val="001275CA"/>
    <w:rsid w:val="00133D27"/>
    <w:rsid w:val="0014314C"/>
    <w:rsid w:val="00182EBB"/>
    <w:rsid w:val="001A2AA0"/>
    <w:rsid w:val="001B2DB0"/>
    <w:rsid w:val="001B7692"/>
    <w:rsid w:val="001D7F67"/>
    <w:rsid w:val="001E4178"/>
    <w:rsid w:val="001E7242"/>
    <w:rsid w:val="001F0313"/>
    <w:rsid w:val="001F2789"/>
    <w:rsid w:val="0021391E"/>
    <w:rsid w:val="00214327"/>
    <w:rsid w:val="00217956"/>
    <w:rsid w:val="002272A4"/>
    <w:rsid w:val="00230E46"/>
    <w:rsid w:val="0024243A"/>
    <w:rsid w:val="00264198"/>
    <w:rsid w:val="00270984"/>
    <w:rsid w:val="00290BCD"/>
    <w:rsid w:val="002950A0"/>
    <w:rsid w:val="002A6035"/>
    <w:rsid w:val="002C378C"/>
    <w:rsid w:val="002C64A5"/>
    <w:rsid w:val="002D3BA2"/>
    <w:rsid w:val="002D4520"/>
    <w:rsid w:val="002D4BB5"/>
    <w:rsid w:val="002E00ED"/>
    <w:rsid w:val="002F1665"/>
    <w:rsid w:val="00301293"/>
    <w:rsid w:val="00302DBD"/>
    <w:rsid w:val="0033214E"/>
    <w:rsid w:val="00332180"/>
    <w:rsid w:val="00367F1D"/>
    <w:rsid w:val="00370598"/>
    <w:rsid w:val="00373DA6"/>
    <w:rsid w:val="00374AF4"/>
    <w:rsid w:val="00377608"/>
    <w:rsid w:val="00382219"/>
    <w:rsid w:val="00393A21"/>
    <w:rsid w:val="003C2B71"/>
    <w:rsid w:val="00410C55"/>
    <w:rsid w:val="004147E2"/>
    <w:rsid w:val="004260F9"/>
    <w:rsid w:val="00437030"/>
    <w:rsid w:val="00443F8D"/>
    <w:rsid w:val="0045184D"/>
    <w:rsid w:val="004533A3"/>
    <w:rsid w:val="00457A23"/>
    <w:rsid w:val="00465B7A"/>
    <w:rsid w:val="00492BD1"/>
    <w:rsid w:val="004B39E3"/>
    <w:rsid w:val="004C17B0"/>
    <w:rsid w:val="005246E1"/>
    <w:rsid w:val="00524973"/>
    <w:rsid w:val="00542A4C"/>
    <w:rsid w:val="005620A2"/>
    <w:rsid w:val="00573075"/>
    <w:rsid w:val="00573B7F"/>
    <w:rsid w:val="0058153F"/>
    <w:rsid w:val="005B76BC"/>
    <w:rsid w:val="005C048A"/>
    <w:rsid w:val="005C252F"/>
    <w:rsid w:val="005C7129"/>
    <w:rsid w:val="005C79B2"/>
    <w:rsid w:val="005E36FA"/>
    <w:rsid w:val="005E49A5"/>
    <w:rsid w:val="0063322D"/>
    <w:rsid w:val="00640E88"/>
    <w:rsid w:val="006733B1"/>
    <w:rsid w:val="0068707A"/>
    <w:rsid w:val="00687884"/>
    <w:rsid w:val="0069003D"/>
    <w:rsid w:val="006B1B03"/>
    <w:rsid w:val="006B62D8"/>
    <w:rsid w:val="006C5A70"/>
    <w:rsid w:val="006D550A"/>
    <w:rsid w:val="006E5D46"/>
    <w:rsid w:val="00712C9E"/>
    <w:rsid w:val="007829EC"/>
    <w:rsid w:val="00787A64"/>
    <w:rsid w:val="00795D4D"/>
    <w:rsid w:val="007B0DE3"/>
    <w:rsid w:val="007C0118"/>
    <w:rsid w:val="007C20C1"/>
    <w:rsid w:val="007D3149"/>
    <w:rsid w:val="007D739F"/>
    <w:rsid w:val="007F06CD"/>
    <w:rsid w:val="00815754"/>
    <w:rsid w:val="00823A42"/>
    <w:rsid w:val="00833696"/>
    <w:rsid w:val="00862B9D"/>
    <w:rsid w:val="008C0CC4"/>
    <w:rsid w:val="008D62AA"/>
    <w:rsid w:val="008E1EAA"/>
    <w:rsid w:val="008E3B42"/>
    <w:rsid w:val="008E5744"/>
    <w:rsid w:val="00904505"/>
    <w:rsid w:val="00907D06"/>
    <w:rsid w:val="009313D5"/>
    <w:rsid w:val="00935DCF"/>
    <w:rsid w:val="0093601F"/>
    <w:rsid w:val="00946B5E"/>
    <w:rsid w:val="00952397"/>
    <w:rsid w:val="009761AC"/>
    <w:rsid w:val="009869E7"/>
    <w:rsid w:val="009904B0"/>
    <w:rsid w:val="009A2518"/>
    <w:rsid w:val="009A677B"/>
    <w:rsid w:val="009B6969"/>
    <w:rsid w:val="009B7939"/>
    <w:rsid w:val="009E28E1"/>
    <w:rsid w:val="00A03865"/>
    <w:rsid w:val="00A07021"/>
    <w:rsid w:val="00A10B31"/>
    <w:rsid w:val="00A22E79"/>
    <w:rsid w:val="00A27DCC"/>
    <w:rsid w:val="00A37608"/>
    <w:rsid w:val="00A44BC9"/>
    <w:rsid w:val="00A615A0"/>
    <w:rsid w:val="00A63500"/>
    <w:rsid w:val="00A70E55"/>
    <w:rsid w:val="00A73106"/>
    <w:rsid w:val="00A81556"/>
    <w:rsid w:val="00A93CC2"/>
    <w:rsid w:val="00AA37F3"/>
    <w:rsid w:val="00AA689B"/>
    <w:rsid w:val="00AB6888"/>
    <w:rsid w:val="00AD09C6"/>
    <w:rsid w:val="00AE7715"/>
    <w:rsid w:val="00B01DA6"/>
    <w:rsid w:val="00B175D3"/>
    <w:rsid w:val="00B20BE7"/>
    <w:rsid w:val="00B47263"/>
    <w:rsid w:val="00B6072D"/>
    <w:rsid w:val="00B66D8F"/>
    <w:rsid w:val="00B72518"/>
    <w:rsid w:val="00B731AE"/>
    <w:rsid w:val="00BA5FB1"/>
    <w:rsid w:val="00BA7722"/>
    <w:rsid w:val="00BB112A"/>
    <w:rsid w:val="00BB5B48"/>
    <w:rsid w:val="00BD620E"/>
    <w:rsid w:val="00BE5956"/>
    <w:rsid w:val="00BF7C03"/>
    <w:rsid w:val="00C02A8A"/>
    <w:rsid w:val="00C06F42"/>
    <w:rsid w:val="00C11966"/>
    <w:rsid w:val="00C1260E"/>
    <w:rsid w:val="00C16408"/>
    <w:rsid w:val="00C400A2"/>
    <w:rsid w:val="00C40932"/>
    <w:rsid w:val="00C4405C"/>
    <w:rsid w:val="00C61DE5"/>
    <w:rsid w:val="00C74BC4"/>
    <w:rsid w:val="00C7530C"/>
    <w:rsid w:val="00C878B0"/>
    <w:rsid w:val="00C9478A"/>
    <w:rsid w:val="00CB3515"/>
    <w:rsid w:val="00CC0302"/>
    <w:rsid w:val="00CC34F4"/>
    <w:rsid w:val="00CD36FD"/>
    <w:rsid w:val="00CD3782"/>
    <w:rsid w:val="00CE7BF6"/>
    <w:rsid w:val="00CF3225"/>
    <w:rsid w:val="00CF3967"/>
    <w:rsid w:val="00D4151B"/>
    <w:rsid w:val="00D42DDF"/>
    <w:rsid w:val="00D52C5E"/>
    <w:rsid w:val="00D9219F"/>
    <w:rsid w:val="00D962A4"/>
    <w:rsid w:val="00DA0BF5"/>
    <w:rsid w:val="00DB2F79"/>
    <w:rsid w:val="00DB5BB6"/>
    <w:rsid w:val="00DE54E9"/>
    <w:rsid w:val="00E405C1"/>
    <w:rsid w:val="00E46920"/>
    <w:rsid w:val="00E541F6"/>
    <w:rsid w:val="00E73150"/>
    <w:rsid w:val="00E917DA"/>
    <w:rsid w:val="00E955AC"/>
    <w:rsid w:val="00EA3246"/>
    <w:rsid w:val="00EC692B"/>
    <w:rsid w:val="00ED55E6"/>
    <w:rsid w:val="00F11CD3"/>
    <w:rsid w:val="00F141B3"/>
    <w:rsid w:val="00F20CD0"/>
    <w:rsid w:val="00F31AF9"/>
    <w:rsid w:val="00F441B6"/>
    <w:rsid w:val="00F6265E"/>
    <w:rsid w:val="00F63AD3"/>
    <w:rsid w:val="00F7568F"/>
    <w:rsid w:val="00F84163"/>
    <w:rsid w:val="00F932F3"/>
    <w:rsid w:val="00FC594A"/>
    <w:rsid w:val="00FD0337"/>
    <w:rsid w:val="00FD2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2" type="connector" idref="#Straight Arrow Connector 23"/>
        <o:r id="V:Rule13" type="connector" idref="#Straight Arrow Connector 28"/>
        <o:r id="V:Rule15" type="connector" idref="#Straight Arrow Connector 6"/>
        <o:r id="V:Rule16" type="connector" idref="#Straight Arrow Connector 31"/>
        <o:r id="V:Rule17" type="connector" idref="#Straight Arrow Connector 29"/>
        <o:r id="V:Rule18" type="connector" idref="#Straight Arrow Connector 23"/>
        <o:r id="V:Rule19" type="connector" idref="#Straight Arrow Connector 17"/>
        <o:r id="V:Rule20" type="connector" idref="#Straight Arrow Connector 13"/>
        <o:r id="V:Rule21" type="connector" idref="#Straight Arrow Connector 16"/>
        <o:r id="V:Rule22" type="connector" idref="#Straight Arrow Connector 19"/>
        <o:r id="V:Rule23" type="connector" idref="#Straight Arrow Connector 8"/>
        <o:r id="V:Rule24"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E2"/>
  </w:style>
  <w:style w:type="paragraph" w:styleId="Heading1">
    <w:name w:val="heading 1"/>
    <w:basedOn w:val="Normal"/>
    <w:next w:val="Normal"/>
    <w:link w:val="Heading1Char"/>
    <w:uiPriority w:val="9"/>
    <w:qFormat/>
    <w:rsid w:val="00A63500"/>
    <w:pPr>
      <w:autoSpaceDE w:val="0"/>
      <w:autoSpaceDN w:val="0"/>
      <w:adjustRightInd w:val="0"/>
      <w:spacing w:before="480" w:after="240" w:line="276" w:lineRule="auto"/>
      <w:ind w:left="426" w:hanging="426"/>
      <w:outlineLvl w:val="0"/>
    </w:pPr>
    <w:rPr>
      <w:rFonts w:ascii="MyriadPro-Bold" w:hAnsi="MyriadPro-Bold" w:cs="MyriadPro-Bold"/>
      <w:b/>
      <w:bCs/>
      <w:color w:val="000000"/>
      <w:sz w:val="32"/>
      <w:szCs w:val="32"/>
      <w:lang w:val="en-US"/>
    </w:rPr>
  </w:style>
  <w:style w:type="paragraph" w:styleId="Heading2">
    <w:name w:val="heading 2"/>
    <w:basedOn w:val="Normal"/>
    <w:next w:val="Normal"/>
    <w:link w:val="Heading2Char"/>
    <w:uiPriority w:val="9"/>
    <w:unhideWhenUsed/>
    <w:qFormat/>
    <w:rsid w:val="00A6350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63500"/>
    <w:pPr>
      <w:keepNext/>
      <w:autoSpaceDE w:val="0"/>
      <w:autoSpaceDN w:val="0"/>
      <w:adjustRightInd w:val="0"/>
      <w:spacing w:before="240" w:after="120" w:line="276" w:lineRule="auto"/>
      <w:outlineLvl w:val="2"/>
    </w:pPr>
    <w:rPr>
      <w:rFonts w:ascii="MyriadPro-SemiboldSemiCn" w:hAnsi="MyriadPro-SemiboldSemiCn" w:cs="MyriadPro-SemiboldSemiC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7E2"/>
    <w:pPr>
      <w:spacing w:after="200" w:line="276" w:lineRule="auto"/>
      <w:ind w:left="720"/>
      <w:contextualSpacing/>
    </w:pPr>
  </w:style>
  <w:style w:type="paragraph" w:styleId="FootnoteText">
    <w:name w:val="footnote text"/>
    <w:basedOn w:val="Normal"/>
    <w:link w:val="FootnoteTextChar"/>
    <w:uiPriority w:val="99"/>
    <w:semiHidden/>
    <w:unhideWhenUsed/>
    <w:rsid w:val="004147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7E2"/>
    <w:rPr>
      <w:sz w:val="20"/>
      <w:szCs w:val="20"/>
    </w:rPr>
  </w:style>
  <w:style w:type="character" w:styleId="FootnoteReference">
    <w:name w:val="footnote reference"/>
    <w:basedOn w:val="DefaultParagraphFont"/>
    <w:uiPriority w:val="99"/>
    <w:semiHidden/>
    <w:unhideWhenUsed/>
    <w:rsid w:val="004147E2"/>
    <w:rPr>
      <w:vertAlign w:val="superscript"/>
    </w:rPr>
  </w:style>
  <w:style w:type="character" w:styleId="Hyperlink">
    <w:name w:val="Hyperlink"/>
    <w:basedOn w:val="DefaultParagraphFont"/>
    <w:uiPriority w:val="99"/>
    <w:unhideWhenUsed/>
    <w:rsid w:val="004147E2"/>
    <w:rPr>
      <w:color w:val="0563C1" w:themeColor="hyperlink"/>
      <w:u w:val="single"/>
    </w:rPr>
  </w:style>
  <w:style w:type="paragraph" w:styleId="Footer">
    <w:name w:val="footer"/>
    <w:basedOn w:val="Normal"/>
    <w:link w:val="FooterChar"/>
    <w:uiPriority w:val="99"/>
    <w:unhideWhenUsed/>
    <w:rsid w:val="00414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7E2"/>
  </w:style>
  <w:style w:type="table" w:styleId="TableGrid">
    <w:name w:val="Table Grid"/>
    <w:basedOn w:val="TableNormal"/>
    <w:uiPriority w:val="39"/>
    <w:rsid w:val="00302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7884"/>
    <w:rPr>
      <w:sz w:val="16"/>
      <w:szCs w:val="16"/>
    </w:rPr>
  </w:style>
  <w:style w:type="paragraph" w:styleId="CommentText">
    <w:name w:val="annotation text"/>
    <w:basedOn w:val="Normal"/>
    <w:link w:val="CommentTextChar"/>
    <w:uiPriority w:val="99"/>
    <w:semiHidden/>
    <w:unhideWhenUsed/>
    <w:rsid w:val="00687884"/>
    <w:pPr>
      <w:spacing w:line="240" w:lineRule="auto"/>
    </w:pPr>
    <w:rPr>
      <w:sz w:val="20"/>
      <w:szCs w:val="20"/>
    </w:rPr>
  </w:style>
  <w:style w:type="character" w:customStyle="1" w:styleId="CommentTextChar">
    <w:name w:val="Comment Text Char"/>
    <w:basedOn w:val="DefaultParagraphFont"/>
    <w:link w:val="CommentText"/>
    <w:uiPriority w:val="99"/>
    <w:semiHidden/>
    <w:rsid w:val="00687884"/>
    <w:rPr>
      <w:sz w:val="20"/>
      <w:szCs w:val="20"/>
    </w:rPr>
  </w:style>
  <w:style w:type="paragraph" w:styleId="CommentSubject">
    <w:name w:val="annotation subject"/>
    <w:basedOn w:val="CommentText"/>
    <w:next w:val="CommentText"/>
    <w:link w:val="CommentSubjectChar"/>
    <w:uiPriority w:val="99"/>
    <w:semiHidden/>
    <w:unhideWhenUsed/>
    <w:rsid w:val="00687884"/>
    <w:rPr>
      <w:b/>
      <w:bCs/>
    </w:rPr>
  </w:style>
  <w:style w:type="character" w:customStyle="1" w:styleId="CommentSubjectChar">
    <w:name w:val="Comment Subject Char"/>
    <w:basedOn w:val="CommentTextChar"/>
    <w:link w:val="CommentSubject"/>
    <w:uiPriority w:val="99"/>
    <w:semiHidden/>
    <w:rsid w:val="00687884"/>
    <w:rPr>
      <w:b/>
      <w:bCs/>
      <w:sz w:val="20"/>
      <w:szCs w:val="20"/>
    </w:rPr>
  </w:style>
  <w:style w:type="paragraph" w:styleId="BalloonText">
    <w:name w:val="Balloon Text"/>
    <w:basedOn w:val="Normal"/>
    <w:link w:val="BalloonTextChar"/>
    <w:uiPriority w:val="99"/>
    <w:semiHidden/>
    <w:unhideWhenUsed/>
    <w:rsid w:val="0068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84"/>
    <w:rPr>
      <w:rFonts w:ascii="Tahoma" w:hAnsi="Tahoma" w:cs="Tahoma"/>
      <w:sz w:val="16"/>
      <w:szCs w:val="16"/>
    </w:rPr>
  </w:style>
  <w:style w:type="paragraph" w:styleId="Header">
    <w:name w:val="header"/>
    <w:basedOn w:val="Normal"/>
    <w:link w:val="HeaderChar"/>
    <w:uiPriority w:val="99"/>
    <w:unhideWhenUsed/>
    <w:rsid w:val="00426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0F9"/>
  </w:style>
  <w:style w:type="paragraph" w:styleId="NormalWeb">
    <w:name w:val="Normal (Web)"/>
    <w:basedOn w:val="Normal"/>
    <w:uiPriority w:val="99"/>
    <w:semiHidden/>
    <w:unhideWhenUsed/>
    <w:rsid w:val="0045184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A63500"/>
    <w:rPr>
      <w:rFonts w:ascii="MyriadPro-Bold" w:hAnsi="MyriadPro-Bold" w:cs="MyriadPro-Bold"/>
      <w:b/>
      <w:bCs/>
      <w:color w:val="000000"/>
      <w:sz w:val="32"/>
      <w:szCs w:val="32"/>
      <w:lang w:val="en-US"/>
    </w:rPr>
  </w:style>
  <w:style w:type="character" w:customStyle="1" w:styleId="Heading2Char">
    <w:name w:val="Heading 2 Char"/>
    <w:basedOn w:val="DefaultParagraphFont"/>
    <w:link w:val="Heading2"/>
    <w:uiPriority w:val="9"/>
    <w:rsid w:val="00A6350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63500"/>
    <w:rPr>
      <w:rFonts w:ascii="MyriadPro-SemiboldSemiCn" w:hAnsi="MyriadPro-SemiboldSemiCn" w:cs="MyriadPro-SemiboldSemiCn"/>
      <w:sz w:val="24"/>
      <w:szCs w:val="24"/>
      <w:lang w:val="en-US"/>
    </w:rPr>
  </w:style>
  <w:style w:type="paragraph" w:customStyle="1" w:styleId="para">
    <w:name w:val="para"/>
    <w:basedOn w:val="Normal"/>
    <w:qFormat/>
    <w:rsid w:val="00A63500"/>
    <w:pPr>
      <w:autoSpaceDE w:val="0"/>
      <w:autoSpaceDN w:val="0"/>
      <w:adjustRightInd w:val="0"/>
      <w:spacing w:after="240" w:line="276" w:lineRule="auto"/>
      <w:jc w:val="both"/>
    </w:pPr>
    <w:rPr>
      <w:rFonts w:ascii="MinionPro-Regular" w:hAnsi="MinionPro-Regular" w:cs="MinionPro-Regular"/>
      <w:color w:val="000000"/>
      <w:lang w:val="en-US"/>
    </w:rPr>
  </w:style>
  <w:style w:type="paragraph" w:customStyle="1" w:styleId="blts">
    <w:name w:val="blts"/>
    <w:basedOn w:val="para"/>
    <w:qFormat/>
    <w:rsid w:val="00A63500"/>
    <w:pPr>
      <w:spacing w:after="120"/>
      <w:ind w:left="1135" w:hanging="284"/>
      <w:jc w:val="left"/>
    </w:pPr>
  </w:style>
  <w:style w:type="paragraph" w:customStyle="1" w:styleId="subs">
    <w:name w:val="subs"/>
    <w:basedOn w:val="Normal"/>
    <w:qFormat/>
    <w:rsid w:val="00A63500"/>
    <w:pPr>
      <w:autoSpaceDE w:val="0"/>
      <w:autoSpaceDN w:val="0"/>
      <w:adjustRightInd w:val="0"/>
      <w:spacing w:before="120" w:after="120" w:line="276" w:lineRule="auto"/>
      <w:ind w:left="425" w:hanging="425"/>
      <w:jc w:val="both"/>
    </w:pPr>
    <w:rPr>
      <w:rFonts w:ascii="MinionPro-Regular" w:hAnsi="MinionPro-Regular" w:cs="MinionPro-Regular"/>
      <w:color w:val="000000"/>
      <w:lang w:val="en-US"/>
    </w:rPr>
  </w:style>
  <w:style w:type="paragraph" w:customStyle="1" w:styleId="tbs">
    <w:name w:val="tbs"/>
    <w:basedOn w:val="Normal"/>
    <w:qFormat/>
    <w:rsid w:val="00A63500"/>
    <w:pPr>
      <w:tabs>
        <w:tab w:val="right" w:leader="underscore" w:pos="7655"/>
      </w:tabs>
      <w:autoSpaceDE w:val="0"/>
      <w:autoSpaceDN w:val="0"/>
      <w:adjustRightInd w:val="0"/>
      <w:spacing w:after="0" w:line="276" w:lineRule="auto"/>
    </w:pPr>
    <w:rPr>
      <w:rFonts w:ascii="MinionPro-Regular" w:hAnsi="MinionPro-Regular" w:cs="MinionPro-Regular"/>
      <w:color w:val="000000"/>
      <w:lang w:val="en-US"/>
    </w:rPr>
  </w:style>
  <w:style w:type="paragraph" w:customStyle="1" w:styleId="para2">
    <w:name w:val="para2"/>
    <w:basedOn w:val="para"/>
    <w:qFormat/>
    <w:rsid w:val="00A63500"/>
    <w:pPr>
      <w:ind w:firstLine="567"/>
    </w:pPr>
  </w:style>
  <w:style w:type="character" w:styleId="FollowedHyperlink">
    <w:name w:val="FollowedHyperlink"/>
    <w:basedOn w:val="DefaultParagraphFont"/>
    <w:uiPriority w:val="99"/>
    <w:semiHidden/>
    <w:unhideWhenUsed/>
    <w:rsid w:val="0093601F"/>
    <w:rPr>
      <w:color w:val="954F72" w:themeColor="followedHyperlink"/>
      <w:u w:val="single"/>
    </w:rPr>
  </w:style>
  <w:style w:type="paragraph" w:customStyle="1" w:styleId="ColorfulList-Accent11">
    <w:name w:val="Colorful List - Accent 11"/>
    <w:basedOn w:val="Normal"/>
    <w:uiPriority w:val="34"/>
    <w:qFormat/>
    <w:rsid w:val="00C61DE5"/>
    <w:pPr>
      <w:spacing w:after="200" w:line="276" w:lineRule="auto"/>
      <w:ind w:left="720"/>
      <w:contextualSpacing/>
    </w:pPr>
    <w:rPr>
      <w:rFonts w:ascii="Calibri" w:eastAsia="MS Mincho" w:hAnsi="Calibri" w:cs="Times New Roman"/>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E2"/>
  </w:style>
  <w:style w:type="paragraph" w:styleId="Heading1">
    <w:name w:val="heading 1"/>
    <w:basedOn w:val="Normal"/>
    <w:next w:val="Normal"/>
    <w:link w:val="Heading1Char"/>
    <w:uiPriority w:val="9"/>
    <w:qFormat/>
    <w:rsid w:val="00A63500"/>
    <w:pPr>
      <w:autoSpaceDE w:val="0"/>
      <w:autoSpaceDN w:val="0"/>
      <w:adjustRightInd w:val="0"/>
      <w:spacing w:before="480" w:after="240" w:line="276" w:lineRule="auto"/>
      <w:ind w:left="426" w:hanging="426"/>
      <w:outlineLvl w:val="0"/>
    </w:pPr>
    <w:rPr>
      <w:rFonts w:ascii="MyriadPro-Bold" w:hAnsi="MyriadPro-Bold" w:cs="MyriadPro-Bold"/>
      <w:b/>
      <w:bCs/>
      <w:color w:val="000000"/>
      <w:sz w:val="32"/>
      <w:szCs w:val="32"/>
      <w:lang w:val="en-US"/>
    </w:rPr>
  </w:style>
  <w:style w:type="paragraph" w:styleId="Heading2">
    <w:name w:val="heading 2"/>
    <w:basedOn w:val="Normal"/>
    <w:next w:val="Normal"/>
    <w:link w:val="Heading2Char"/>
    <w:uiPriority w:val="9"/>
    <w:unhideWhenUsed/>
    <w:qFormat/>
    <w:rsid w:val="00A6350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63500"/>
    <w:pPr>
      <w:keepNext/>
      <w:autoSpaceDE w:val="0"/>
      <w:autoSpaceDN w:val="0"/>
      <w:adjustRightInd w:val="0"/>
      <w:spacing w:before="240" w:after="120" w:line="276" w:lineRule="auto"/>
      <w:outlineLvl w:val="2"/>
    </w:pPr>
    <w:rPr>
      <w:rFonts w:ascii="MyriadPro-SemiboldSemiCn" w:hAnsi="MyriadPro-SemiboldSemiCn" w:cs="MyriadPro-SemiboldSemiC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7E2"/>
    <w:pPr>
      <w:spacing w:after="200" w:line="276" w:lineRule="auto"/>
      <w:ind w:left="720"/>
      <w:contextualSpacing/>
    </w:pPr>
  </w:style>
  <w:style w:type="paragraph" w:styleId="FootnoteText">
    <w:name w:val="footnote text"/>
    <w:basedOn w:val="Normal"/>
    <w:link w:val="FootnoteTextChar"/>
    <w:uiPriority w:val="99"/>
    <w:semiHidden/>
    <w:unhideWhenUsed/>
    <w:rsid w:val="004147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7E2"/>
    <w:rPr>
      <w:sz w:val="20"/>
      <w:szCs w:val="20"/>
    </w:rPr>
  </w:style>
  <w:style w:type="character" w:styleId="FootnoteReference">
    <w:name w:val="footnote reference"/>
    <w:basedOn w:val="DefaultParagraphFont"/>
    <w:uiPriority w:val="99"/>
    <w:semiHidden/>
    <w:unhideWhenUsed/>
    <w:rsid w:val="004147E2"/>
    <w:rPr>
      <w:vertAlign w:val="superscript"/>
    </w:rPr>
  </w:style>
  <w:style w:type="character" w:styleId="Hyperlink">
    <w:name w:val="Hyperlink"/>
    <w:basedOn w:val="DefaultParagraphFont"/>
    <w:uiPriority w:val="99"/>
    <w:unhideWhenUsed/>
    <w:rsid w:val="004147E2"/>
    <w:rPr>
      <w:color w:val="0563C1" w:themeColor="hyperlink"/>
      <w:u w:val="single"/>
    </w:rPr>
  </w:style>
  <w:style w:type="paragraph" w:styleId="Footer">
    <w:name w:val="footer"/>
    <w:basedOn w:val="Normal"/>
    <w:link w:val="FooterChar"/>
    <w:uiPriority w:val="99"/>
    <w:unhideWhenUsed/>
    <w:rsid w:val="00414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7E2"/>
  </w:style>
  <w:style w:type="table" w:styleId="TableGrid">
    <w:name w:val="Table Grid"/>
    <w:basedOn w:val="TableNormal"/>
    <w:uiPriority w:val="39"/>
    <w:rsid w:val="00302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7884"/>
    <w:rPr>
      <w:sz w:val="16"/>
      <w:szCs w:val="16"/>
    </w:rPr>
  </w:style>
  <w:style w:type="paragraph" w:styleId="CommentText">
    <w:name w:val="annotation text"/>
    <w:basedOn w:val="Normal"/>
    <w:link w:val="CommentTextChar"/>
    <w:uiPriority w:val="99"/>
    <w:semiHidden/>
    <w:unhideWhenUsed/>
    <w:rsid w:val="00687884"/>
    <w:pPr>
      <w:spacing w:line="240" w:lineRule="auto"/>
    </w:pPr>
    <w:rPr>
      <w:sz w:val="20"/>
      <w:szCs w:val="20"/>
    </w:rPr>
  </w:style>
  <w:style w:type="character" w:customStyle="1" w:styleId="CommentTextChar">
    <w:name w:val="Comment Text Char"/>
    <w:basedOn w:val="DefaultParagraphFont"/>
    <w:link w:val="CommentText"/>
    <w:uiPriority w:val="99"/>
    <w:semiHidden/>
    <w:rsid w:val="00687884"/>
    <w:rPr>
      <w:sz w:val="20"/>
      <w:szCs w:val="20"/>
    </w:rPr>
  </w:style>
  <w:style w:type="paragraph" w:styleId="CommentSubject">
    <w:name w:val="annotation subject"/>
    <w:basedOn w:val="CommentText"/>
    <w:next w:val="CommentText"/>
    <w:link w:val="CommentSubjectChar"/>
    <w:uiPriority w:val="99"/>
    <w:semiHidden/>
    <w:unhideWhenUsed/>
    <w:rsid w:val="00687884"/>
    <w:rPr>
      <w:b/>
      <w:bCs/>
    </w:rPr>
  </w:style>
  <w:style w:type="character" w:customStyle="1" w:styleId="CommentSubjectChar">
    <w:name w:val="Comment Subject Char"/>
    <w:basedOn w:val="CommentTextChar"/>
    <w:link w:val="CommentSubject"/>
    <w:uiPriority w:val="99"/>
    <w:semiHidden/>
    <w:rsid w:val="00687884"/>
    <w:rPr>
      <w:b/>
      <w:bCs/>
      <w:sz w:val="20"/>
      <w:szCs w:val="20"/>
    </w:rPr>
  </w:style>
  <w:style w:type="paragraph" w:styleId="BalloonText">
    <w:name w:val="Balloon Text"/>
    <w:basedOn w:val="Normal"/>
    <w:link w:val="BalloonTextChar"/>
    <w:uiPriority w:val="99"/>
    <w:semiHidden/>
    <w:unhideWhenUsed/>
    <w:rsid w:val="0068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84"/>
    <w:rPr>
      <w:rFonts w:ascii="Tahoma" w:hAnsi="Tahoma" w:cs="Tahoma"/>
      <w:sz w:val="16"/>
      <w:szCs w:val="16"/>
    </w:rPr>
  </w:style>
  <w:style w:type="paragraph" w:styleId="Header">
    <w:name w:val="header"/>
    <w:basedOn w:val="Normal"/>
    <w:link w:val="HeaderChar"/>
    <w:uiPriority w:val="99"/>
    <w:unhideWhenUsed/>
    <w:rsid w:val="00426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0F9"/>
  </w:style>
  <w:style w:type="paragraph" w:styleId="NormalWeb">
    <w:name w:val="Normal (Web)"/>
    <w:basedOn w:val="Normal"/>
    <w:uiPriority w:val="99"/>
    <w:semiHidden/>
    <w:unhideWhenUsed/>
    <w:rsid w:val="0045184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A63500"/>
    <w:rPr>
      <w:rFonts w:ascii="MyriadPro-Bold" w:hAnsi="MyriadPro-Bold" w:cs="MyriadPro-Bold"/>
      <w:b/>
      <w:bCs/>
      <w:color w:val="000000"/>
      <w:sz w:val="32"/>
      <w:szCs w:val="32"/>
      <w:lang w:val="en-US"/>
    </w:rPr>
  </w:style>
  <w:style w:type="character" w:customStyle="1" w:styleId="Heading2Char">
    <w:name w:val="Heading 2 Char"/>
    <w:basedOn w:val="DefaultParagraphFont"/>
    <w:link w:val="Heading2"/>
    <w:uiPriority w:val="9"/>
    <w:rsid w:val="00A6350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63500"/>
    <w:rPr>
      <w:rFonts w:ascii="MyriadPro-SemiboldSemiCn" w:hAnsi="MyriadPro-SemiboldSemiCn" w:cs="MyriadPro-SemiboldSemiCn"/>
      <w:sz w:val="24"/>
      <w:szCs w:val="24"/>
      <w:lang w:val="en-US"/>
    </w:rPr>
  </w:style>
  <w:style w:type="paragraph" w:customStyle="1" w:styleId="para">
    <w:name w:val="para"/>
    <w:basedOn w:val="Normal"/>
    <w:qFormat/>
    <w:rsid w:val="00A63500"/>
    <w:pPr>
      <w:autoSpaceDE w:val="0"/>
      <w:autoSpaceDN w:val="0"/>
      <w:adjustRightInd w:val="0"/>
      <w:spacing w:after="240" w:line="276" w:lineRule="auto"/>
      <w:jc w:val="both"/>
    </w:pPr>
    <w:rPr>
      <w:rFonts w:ascii="MinionPro-Regular" w:hAnsi="MinionPro-Regular" w:cs="MinionPro-Regular"/>
      <w:color w:val="000000"/>
      <w:lang w:val="en-US"/>
    </w:rPr>
  </w:style>
  <w:style w:type="paragraph" w:customStyle="1" w:styleId="blts">
    <w:name w:val="blts"/>
    <w:basedOn w:val="para"/>
    <w:qFormat/>
    <w:rsid w:val="00A63500"/>
    <w:pPr>
      <w:spacing w:after="120"/>
      <w:ind w:left="1135" w:hanging="284"/>
      <w:jc w:val="left"/>
    </w:pPr>
  </w:style>
  <w:style w:type="paragraph" w:customStyle="1" w:styleId="subs">
    <w:name w:val="subs"/>
    <w:basedOn w:val="Normal"/>
    <w:qFormat/>
    <w:rsid w:val="00A63500"/>
    <w:pPr>
      <w:autoSpaceDE w:val="0"/>
      <w:autoSpaceDN w:val="0"/>
      <w:adjustRightInd w:val="0"/>
      <w:spacing w:before="120" w:after="120" w:line="276" w:lineRule="auto"/>
      <w:ind w:left="425" w:hanging="425"/>
      <w:jc w:val="both"/>
    </w:pPr>
    <w:rPr>
      <w:rFonts w:ascii="MinionPro-Regular" w:hAnsi="MinionPro-Regular" w:cs="MinionPro-Regular"/>
      <w:color w:val="000000"/>
      <w:lang w:val="en-US"/>
    </w:rPr>
  </w:style>
  <w:style w:type="paragraph" w:customStyle="1" w:styleId="tbs">
    <w:name w:val="tbs"/>
    <w:basedOn w:val="Normal"/>
    <w:qFormat/>
    <w:rsid w:val="00A63500"/>
    <w:pPr>
      <w:tabs>
        <w:tab w:val="right" w:leader="underscore" w:pos="7655"/>
      </w:tabs>
      <w:autoSpaceDE w:val="0"/>
      <w:autoSpaceDN w:val="0"/>
      <w:adjustRightInd w:val="0"/>
      <w:spacing w:after="0" w:line="276" w:lineRule="auto"/>
    </w:pPr>
    <w:rPr>
      <w:rFonts w:ascii="MinionPro-Regular" w:hAnsi="MinionPro-Regular" w:cs="MinionPro-Regular"/>
      <w:color w:val="000000"/>
      <w:lang w:val="en-US"/>
    </w:rPr>
  </w:style>
  <w:style w:type="paragraph" w:customStyle="1" w:styleId="para2">
    <w:name w:val="para2"/>
    <w:basedOn w:val="para"/>
    <w:qFormat/>
    <w:rsid w:val="00A63500"/>
    <w:pPr>
      <w:ind w:firstLine="567"/>
    </w:pPr>
  </w:style>
  <w:style w:type="character" w:styleId="FollowedHyperlink">
    <w:name w:val="FollowedHyperlink"/>
    <w:basedOn w:val="DefaultParagraphFont"/>
    <w:uiPriority w:val="99"/>
    <w:semiHidden/>
    <w:unhideWhenUsed/>
    <w:rsid w:val="0093601F"/>
    <w:rPr>
      <w:color w:val="954F72" w:themeColor="followedHyperlink"/>
      <w:u w:val="single"/>
    </w:rPr>
  </w:style>
  <w:style w:type="paragraph" w:customStyle="1" w:styleId="ColorfulList-Accent11">
    <w:name w:val="Colorful List - Accent 11"/>
    <w:basedOn w:val="Normal"/>
    <w:uiPriority w:val="34"/>
    <w:qFormat/>
    <w:rsid w:val="00C61DE5"/>
    <w:pPr>
      <w:spacing w:after="200" w:line="276" w:lineRule="auto"/>
      <w:ind w:left="720"/>
      <w:contextualSpacing/>
    </w:pPr>
    <w:rPr>
      <w:rFonts w:ascii="Calibri" w:eastAsia="MS Mincho" w:hAnsi="Calibri" w:cs="Times New Roman"/>
      <w:lang w:val="en-MY" w:eastAsia="en-MY"/>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1BD-8035-4613-A617-D438B73A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bpfk</cp:lastModifiedBy>
  <cp:revision>11</cp:revision>
  <dcterms:created xsi:type="dcterms:W3CDTF">2016-12-07T07:48:00Z</dcterms:created>
  <dcterms:modified xsi:type="dcterms:W3CDTF">2016-12-09T02:29:00Z</dcterms:modified>
</cp:coreProperties>
</file>